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B7500" w:rsidRPr="00EB7500" w:rsidRDefault="00EB7500" w:rsidP="00EB7500">
      <w:pPr>
        <w:spacing w:before="225" w:after="225" w:line="240" w:lineRule="atLeast"/>
        <w:outlineLvl w:val="0"/>
        <w:rPr>
          <w:rFonts w:eastAsia="Times New Roman"/>
          <w:b/>
          <w:bCs/>
          <w:spacing w:val="-15"/>
          <w:kern w:val="36"/>
          <w:sz w:val="60"/>
          <w:szCs w:val="60"/>
          <w:lang w:eastAsia="fr-FR"/>
        </w:rPr>
      </w:pPr>
      <w:r w:rsidRPr="00EB7500">
        <w:rPr>
          <w:rFonts w:eastAsia="Times New Roman"/>
          <w:b/>
          <w:bCs/>
          <w:spacing w:val="-15"/>
          <w:kern w:val="36"/>
          <w:sz w:val="60"/>
          <w:szCs w:val="60"/>
          <w:lang w:eastAsia="fr-FR"/>
        </w:rPr>
        <w:t>Ouverture d’une buvette</w:t>
      </w:r>
    </w:p>
    <w:p w:rsidR="00EB7500" w:rsidRPr="00EB7500" w:rsidRDefault="00EB7500" w:rsidP="00EB7500">
      <w:pPr>
        <w:spacing w:before="100" w:beforeAutospacing="1" w:after="100" w:afterAutospacing="1" w:line="240" w:lineRule="auto"/>
        <w:outlineLvl w:val="1"/>
        <w:rPr>
          <w:rFonts w:eastAsia="Times New Roman"/>
          <w:b/>
          <w:bCs/>
          <w:sz w:val="36"/>
          <w:szCs w:val="36"/>
          <w:lang w:eastAsia="fr-FR"/>
        </w:rPr>
      </w:pPr>
      <w:bookmarkStart w:id="0" w:name="s1"/>
      <w:bookmarkEnd w:id="0"/>
      <w:r w:rsidRPr="00EB7500">
        <w:rPr>
          <w:rFonts w:eastAsia="Times New Roman"/>
          <w:b/>
          <w:bCs/>
          <w:sz w:val="36"/>
          <w:szCs w:val="36"/>
          <w:lang w:eastAsia="fr-FR"/>
        </w:rPr>
        <w:t>Règles générales</w:t>
      </w:r>
    </w:p>
    <w:p w:rsidR="00EB7500" w:rsidRPr="00EB7500" w:rsidRDefault="00EB7500" w:rsidP="00EB7500">
      <w:pPr>
        <w:pBdr>
          <w:bottom w:val="single" w:sz="6" w:space="8" w:color="E5E5E5"/>
        </w:pBdr>
        <w:spacing w:before="100" w:beforeAutospacing="1" w:after="100" w:afterAutospacing="1" w:line="240" w:lineRule="auto"/>
        <w:outlineLvl w:val="2"/>
        <w:rPr>
          <w:rFonts w:eastAsia="Times New Roman"/>
          <w:b/>
          <w:bCs/>
          <w:sz w:val="27"/>
          <w:szCs w:val="27"/>
          <w:lang w:eastAsia="fr-FR"/>
        </w:rPr>
      </w:pPr>
      <w:bookmarkStart w:id="1" w:name="s2"/>
      <w:bookmarkEnd w:id="1"/>
      <w:r w:rsidRPr="00EB7500">
        <w:rPr>
          <w:rFonts w:eastAsia="Times New Roman"/>
          <w:b/>
          <w:bCs/>
          <w:sz w:val="27"/>
          <w:szCs w:val="27"/>
          <w:lang w:eastAsia="fr-FR"/>
        </w:rPr>
        <w:t>Buvette ou débit de boissons</w:t>
      </w:r>
    </w:p>
    <w:p w:rsidR="00EB7500" w:rsidRPr="00EB7500" w:rsidRDefault="00EB7500" w:rsidP="00EB7500">
      <w:pPr>
        <w:spacing w:after="0" w:line="240" w:lineRule="auto"/>
        <w:rPr>
          <w:rFonts w:eastAsia="Times New Roman"/>
          <w:lang w:eastAsia="fr-FR"/>
        </w:rPr>
      </w:pPr>
      <w:bookmarkStart w:id="2" w:name="5540"/>
      <w:bookmarkEnd w:id="2"/>
      <w:r w:rsidRPr="00EB7500">
        <w:rPr>
          <w:rFonts w:eastAsia="Times New Roman"/>
          <w:sz w:val="22"/>
          <w:szCs w:val="22"/>
          <w:lang w:eastAsia="fr-FR"/>
        </w:rPr>
        <w:t>5540</w:t>
      </w:r>
    </w:p>
    <w:p w:rsidR="00EB7500" w:rsidRPr="00EB7500" w:rsidRDefault="00EB7500" w:rsidP="00EB7500">
      <w:pPr>
        <w:spacing w:after="0" w:line="240" w:lineRule="auto"/>
        <w:rPr>
          <w:rFonts w:eastAsia="Times New Roman"/>
          <w:sz w:val="29"/>
          <w:szCs w:val="29"/>
          <w:lang w:eastAsia="fr-FR"/>
        </w:rPr>
      </w:pPr>
      <w:r w:rsidRPr="00EB7500">
        <w:rPr>
          <w:rFonts w:eastAsia="Times New Roman"/>
          <w:sz w:val="29"/>
          <w:szCs w:val="29"/>
          <w:lang w:eastAsia="fr-FR"/>
        </w:rPr>
        <w:t>L’organisation d’une manifestation artistique, folklorique ou sportive entraîne généralement l’ouverture d’un débit de boissons, dénommé « buvette » pour la durée des festivités.</w:t>
      </w:r>
    </w:p>
    <w:p w:rsidR="00EB7500" w:rsidRPr="00EB7500" w:rsidRDefault="00EB7500" w:rsidP="00EB7500">
      <w:pPr>
        <w:spacing w:after="0" w:line="240" w:lineRule="auto"/>
        <w:rPr>
          <w:rFonts w:eastAsia="Times New Roman"/>
          <w:sz w:val="29"/>
          <w:szCs w:val="29"/>
          <w:lang w:eastAsia="fr-FR"/>
        </w:rPr>
      </w:pPr>
      <w:r w:rsidRPr="00EB7500">
        <w:rPr>
          <w:rFonts w:eastAsia="Times New Roman"/>
          <w:sz w:val="29"/>
          <w:szCs w:val="29"/>
          <w:lang w:eastAsia="fr-FR"/>
        </w:rPr>
        <w:t>Par ailleurs, certaines associations vendent de façon permanente des boissons à consommer sur place à leurs adhérents.</w:t>
      </w:r>
    </w:p>
    <w:p w:rsidR="00EB7500" w:rsidRPr="00EB7500" w:rsidRDefault="00EB7500" w:rsidP="00EB7500">
      <w:pPr>
        <w:spacing w:line="240" w:lineRule="auto"/>
        <w:rPr>
          <w:rFonts w:eastAsia="Times New Roman"/>
          <w:sz w:val="29"/>
          <w:szCs w:val="29"/>
          <w:lang w:eastAsia="fr-FR"/>
        </w:rPr>
      </w:pPr>
      <w:r w:rsidRPr="00EB7500">
        <w:rPr>
          <w:rFonts w:eastAsia="Times New Roman"/>
          <w:sz w:val="29"/>
          <w:szCs w:val="29"/>
          <w:lang w:eastAsia="fr-FR"/>
        </w:rPr>
        <w:t>Un formalisme plus ou moins important, selon le cas, est attaché à cette ouverture.</w:t>
      </w:r>
    </w:p>
    <w:p w:rsidR="00EB7500" w:rsidRPr="00EB7500" w:rsidRDefault="00EB7500" w:rsidP="00EB7500">
      <w:pPr>
        <w:pBdr>
          <w:bottom w:val="single" w:sz="6" w:space="8" w:color="E5E5E5"/>
        </w:pBdr>
        <w:spacing w:before="100" w:beforeAutospacing="1" w:after="100" w:afterAutospacing="1" w:line="240" w:lineRule="auto"/>
        <w:outlineLvl w:val="2"/>
        <w:rPr>
          <w:rFonts w:eastAsia="Times New Roman"/>
          <w:b/>
          <w:bCs/>
          <w:sz w:val="27"/>
          <w:szCs w:val="27"/>
          <w:lang w:eastAsia="fr-FR"/>
        </w:rPr>
      </w:pPr>
      <w:bookmarkStart w:id="3" w:name="s3"/>
      <w:bookmarkEnd w:id="3"/>
      <w:r w:rsidRPr="00EB7500">
        <w:rPr>
          <w:rFonts w:eastAsia="Times New Roman"/>
          <w:b/>
          <w:bCs/>
          <w:sz w:val="27"/>
          <w:szCs w:val="27"/>
          <w:lang w:eastAsia="fr-FR"/>
        </w:rPr>
        <w:t>Respect de la réglementation administrative</w:t>
      </w:r>
    </w:p>
    <w:p w:rsidR="00EB7500" w:rsidRPr="00EB7500" w:rsidRDefault="00EB7500" w:rsidP="00EB7500">
      <w:pPr>
        <w:spacing w:after="0" w:line="240" w:lineRule="auto"/>
        <w:rPr>
          <w:rFonts w:eastAsia="Times New Roman"/>
          <w:lang w:eastAsia="fr-FR"/>
        </w:rPr>
      </w:pPr>
      <w:bookmarkStart w:id="4" w:name="5541"/>
      <w:bookmarkEnd w:id="4"/>
      <w:r w:rsidRPr="00EB7500">
        <w:rPr>
          <w:rFonts w:eastAsia="Times New Roman"/>
          <w:sz w:val="22"/>
          <w:szCs w:val="22"/>
          <w:lang w:eastAsia="fr-FR"/>
        </w:rPr>
        <w:t>5541</w:t>
      </w:r>
    </w:p>
    <w:p w:rsidR="00EB7500" w:rsidRPr="00EB7500" w:rsidRDefault="00EB7500" w:rsidP="00EB7500">
      <w:pPr>
        <w:spacing w:after="0" w:line="240" w:lineRule="auto"/>
        <w:rPr>
          <w:rFonts w:eastAsia="Times New Roman"/>
          <w:sz w:val="29"/>
          <w:szCs w:val="29"/>
          <w:lang w:eastAsia="fr-FR"/>
        </w:rPr>
      </w:pPr>
      <w:r w:rsidRPr="00EB7500">
        <w:rPr>
          <w:rFonts w:eastAsia="Times New Roman"/>
          <w:sz w:val="29"/>
          <w:szCs w:val="29"/>
          <w:lang w:eastAsia="fr-FR"/>
        </w:rPr>
        <w:t>Les associations qui servent des repas, vendent des boissons à consommer sur place ou organisent des spectacles ou divertissements quelconques sont soumises à toutes les obligations fiscales des commerçants et aux dispositions relatives à la réglementation administrative des débits de boissons ou à la police des spectacles (CGI art. </w:t>
      </w:r>
      <w:hyperlink r:id="rId6" w:tgtFrame="_blank" w:history="1">
        <w:r w:rsidRPr="00EB7500">
          <w:rPr>
            <w:rFonts w:eastAsia="Times New Roman"/>
            <w:color w:val="0000FF"/>
            <w:sz w:val="21"/>
            <w:szCs w:val="21"/>
            <w:u w:val="single"/>
            <w:lang w:eastAsia="fr-FR"/>
          </w:rPr>
          <w:t>1655</w:t>
        </w:r>
      </w:hyperlink>
      <w:r w:rsidRPr="00EB7500">
        <w:rPr>
          <w:rFonts w:eastAsia="Times New Roman"/>
          <w:sz w:val="29"/>
          <w:szCs w:val="29"/>
          <w:lang w:eastAsia="fr-FR"/>
        </w:rPr>
        <w:t>, al. </w:t>
      </w:r>
      <w:hyperlink r:id="rId7" w:tgtFrame="_blank" w:history="1">
        <w:r w:rsidRPr="00EB7500">
          <w:rPr>
            <w:rFonts w:eastAsia="Times New Roman"/>
            <w:color w:val="0000FF"/>
            <w:sz w:val="21"/>
            <w:szCs w:val="21"/>
            <w:u w:val="single"/>
            <w:lang w:eastAsia="fr-FR"/>
          </w:rPr>
          <w:t>1</w:t>
        </w:r>
      </w:hyperlink>
      <w:r w:rsidRPr="00EB7500">
        <w:rPr>
          <w:rFonts w:eastAsia="Times New Roman"/>
          <w:sz w:val="29"/>
          <w:szCs w:val="29"/>
          <w:lang w:eastAsia="fr-FR"/>
        </w:rPr>
        <w:t>er). La réglementation des débits de boissons est fixée aux articles L. 3331-1 à L. 3335-11 du code de la santé publique.</w:t>
      </w:r>
    </w:p>
    <w:p w:rsidR="00EB7500" w:rsidRPr="00EB7500" w:rsidRDefault="00EB7500" w:rsidP="00EB7500">
      <w:pPr>
        <w:spacing w:line="240" w:lineRule="auto"/>
        <w:rPr>
          <w:rFonts w:eastAsia="Times New Roman"/>
          <w:sz w:val="29"/>
          <w:szCs w:val="29"/>
          <w:lang w:eastAsia="fr-FR"/>
        </w:rPr>
      </w:pPr>
      <w:r w:rsidRPr="00EB7500">
        <w:rPr>
          <w:rFonts w:eastAsia="Times New Roman"/>
          <w:sz w:val="29"/>
          <w:szCs w:val="29"/>
          <w:lang w:eastAsia="fr-FR"/>
        </w:rPr>
        <w:t>Par ailleurs, toute personne se livrant à la vente au détail de boissons est soumise à la législation des contributions indirectes. Elle doit justifier toute détention de boissons par un document ou une quittance attestant du paiement des droits (CGI art. </w:t>
      </w:r>
      <w:hyperlink r:id="rId8" w:tgtFrame="_blank" w:history="1">
        <w:r w:rsidRPr="00EB7500">
          <w:rPr>
            <w:rFonts w:eastAsia="Times New Roman"/>
            <w:color w:val="0000FF"/>
            <w:sz w:val="21"/>
            <w:szCs w:val="21"/>
            <w:u w:val="single"/>
            <w:lang w:eastAsia="fr-FR"/>
          </w:rPr>
          <w:t>502</w:t>
        </w:r>
      </w:hyperlink>
      <w:r w:rsidRPr="00EB7500">
        <w:rPr>
          <w:rFonts w:eastAsia="Times New Roman"/>
          <w:sz w:val="29"/>
          <w:szCs w:val="29"/>
          <w:lang w:eastAsia="fr-FR"/>
        </w:rPr>
        <w:t>).</w:t>
      </w:r>
    </w:p>
    <w:p w:rsidR="00EB7500" w:rsidRPr="00EB7500" w:rsidRDefault="00EB7500" w:rsidP="00EB7500">
      <w:pPr>
        <w:pBdr>
          <w:bottom w:val="single" w:sz="6" w:space="8" w:color="E5E5E5"/>
        </w:pBdr>
        <w:spacing w:before="100" w:beforeAutospacing="1" w:after="100" w:afterAutospacing="1" w:line="240" w:lineRule="auto"/>
        <w:outlineLvl w:val="2"/>
        <w:rPr>
          <w:rFonts w:eastAsia="Times New Roman"/>
          <w:b/>
          <w:bCs/>
          <w:sz w:val="27"/>
          <w:szCs w:val="27"/>
          <w:lang w:eastAsia="fr-FR"/>
        </w:rPr>
      </w:pPr>
      <w:bookmarkStart w:id="5" w:name="s4"/>
      <w:bookmarkEnd w:id="5"/>
      <w:r w:rsidRPr="00EB7500">
        <w:rPr>
          <w:rFonts w:eastAsia="Times New Roman"/>
          <w:b/>
          <w:bCs/>
          <w:sz w:val="27"/>
          <w:szCs w:val="27"/>
          <w:lang w:eastAsia="fr-FR"/>
        </w:rPr>
        <w:t>Respect de la concurrence</w:t>
      </w:r>
    </w:p>
    <w:p w:rsidR="00EB7500" w:rsidRPr="00EB7500" w:rsidRDefault="00EB7500" w:rsidP="00EB7500">
      <w:pPr>
        <w:spacing w:after="0" w:line="240" w:lineRule="auto"/>
        <w:rPr>
          <w:rFonts w:eastAsia="Times New Roman"/>
          <w:lang w:eastAsia="fr-FR"/>
        </w:rPr>
      </w:pPr>
      <w:bookmarkStart w:id="6" w:name="5542"/>
      <w:bookmarkEnd w:id="6"/>
      <w:r w:rsidRPr="00EB7500">
        <w:rPr>
          <w:rFonts w:eastAsia="Times New Roman"/>
          <w:sz w:val="22"/>
          <w:szCs w:val="22"/>
          <w:lang w:eastAsia="fr-FR"/>
        </w:rPr>
        <w:t>5542</w:t>
      </w:r>
    </w:p>
    <w:p w:rsidR="00EB7500" w:rsidRPr="00EB7500" w:rsidRDefault="00EB7500" w:rsidP="00EB7500">
      <w:pPr>
        <w:spacing w:after="0" w:line="240" w:lineRule="auto"/>
        <w:rPr>
          <w:rFonts w:eastAsia="Times New Roman"/>
          <w:sz w:val="29"/>
          <w:szCs w:val="29"/>
          <w:lang w:eastAsia="fr-FR"/>
        </w:rPr>
      </w:pPr>
      <w:r w:rsidRPr="00EB7500">
        <w:rPr>
          <w:rFonts w:eastAsia="Times New Roman"/>
          <w:sz w:val="29"/>
          <w:szCs w:val="29"/>
          <w:lang w:eastAsia="fr-FR"/>
        </w:rPr>
        <w:t>Dès lors qu’il s’agit de ventes habituelles, l’association inclura cette activité dans ses statuts (voir § </w:t>
      </w:r>
      <w:hyperlink r:id="rId9" w:anchor="326" w:history="1">
        <w:r w:rsidRPr="00EB7500">
          <w:rPr>
            <w:rFonts w:eastAsia="Times New Roman"/>
            <w:color w:val="0000FF"/>
            <w:sz w:val="29"/>
            <w:szCs w:val="29"/>
            <w:u w:val="single"/>
            <w:lang w:eastAsia="fr-FR"/>
          </w:rPr>
          <w:t>326</w:t>
        </w:r>
      </w:hyperlink>
      <w:r w:rsidRPr="00EB7500">
        <w:rPr>
          <w:rFonts w:eastAsia="Times New Roman"/>
          <w:sz w:val="29"/>
          <w:szCs w:val="29"/>
          <w:lang w:eastAsia="fr-FR"/>
        </w:rPr>
        <w:t>).</w:t>
      </w:r>
    </w:p>
    <w:p w:rsidR="00EB7500" w:rsidRPr="00EB7500" w:rsidRDefault="00EB7500" w:rsidP="00EB7500">
      <w:pPr>
        <w:spacing w:after="150" w:line="240" w:lineRule="auto"/>
        <w:rPr>
          <w:rFonts w:eastAsia="Times New Roman"/>
          <w:color w:val="999999"/>
          <w:sz w:val="20"/>
          <w:szCs w:val="20"/>
          <w:lang w:eastAsia="fr-FR"/>
        </w:rPr>
      </w:pPr>
      <w:r w:rsidRPr="00EB7500">
        <w:rPr>
          <w:rFonts w:eastAsia="Times New Roman"/>
          <w:b/>
          <w:bCs/>
          <w:color w:val="999999"/>
          <w:sz w:val="20"/>
          <w:szCs w:val="20"/>
          <w:lang w:eastAsia="fr-FR"/>
        </w:rPr>
        <w:t>Actes de concurrence illicite.</w:t>
      </w:r>
      <w:r w:rsidRPr="00EB7500">
        <w:rPr>
          <w:rFonts w:eastAsia="Times New Roman"/>
          <w:color w:val="999999"/>
          <w:sz w:val="20"/>
          <w:szCs w:val="20"/>
          <w:lang w:eastAsia="fr-FR"/>
        </w:rPr>
        <w:t xml:space="preserve"> L’activité ne devra pas concurrencer directement les débits de boissons, l’exploitation sera non commerciale et donc non lucrative (rép. Huguet n° 23585, JO 11 mars 1993, Sén. </w:t>
      </w:r>
      <w:proofErr w:type="gramStart"/>
      <w:r w:rsidRPr="00EB7500">
        <w:rPr>
          <w:rFonts w:eastAsia="Times New Roman"/>
          <w:color w:val="999999"/>
          <w:sz w:val="20"/>
          <w:szCs w:val="20"/>
          <w:lang w:eastAsia="fr-FR"/>
        </w:rPr>
        <w:t>quest</w:t>
      </w:r>
      <w:proofErr w:type="gramEnd"/>
      <w:r w:rsidRPr="00EB7500">
        <w:rPr>
          <w:rFonts w:eastAsia="Times New Roman"/>
          <w:color w:val="999999"/>
          <w:sz w:val="20"/>
          <w:szCs w:val="20"/>
          <w:lang w:eastAsia="fr-FR"/>
        </w:rPr>
        <w:t>. p. 432).</w:t>
      </w:r>
    </w:p>
    <w:p w:rsidR="00EB7500" w:rsidRPr="00EB7500" w:rsidRDefault="00EB7500" w:rsidP="00EB7500">
      <w:pPr>
        <w:spacing w:before="150" w:line="240" w:lineRule="auto"/>
        <w:rPr>
          <w:rFonts w:eastAsia="Times New Roman"/>
          <w:color w:val="999999"/>
          <w:sz w:val="20"/>
          <w:szCs w:val="20"/>
          <w:lang w:eastAsia="fr-FR"/>
        </w:rPr>
      </w:pPr>
      <w:r w:rsidRPr="00EB7500">
        <w:rPr>
          <w:rFonts w:eastAsia="Times New Roman"/>
          <w:color w:val="999999"/>
          <w:sz w:val="20"/>
          <w:szCs w:val="20"/>
          <w:lang w:eastAsia="fr-FR"/>
        </w:rPr>
        <w:t>En effet, une association qui vend ou offre des boissons à des personnes autres que ses membres reste tenue à une obligation de non-concurrence envers les commerçants installés dans la localité. À cette fin, elle ne peut drainer de façon habituelle une partie de la clientèle qui pourrait se diriger vers les établissements commerciaux. Si elle le faisait, les commerçants lésés pourraient engager des actions judiciaires et obtenir des dommages et intérêts, ainsi que la fermeture du débit de boissons ouvert par l’association.</w:t>
      </w:r>
    </w:p>
    <w:p w:rsidR="00EB7500" w:rsidRPr="00EB7500" w:rsidRDefault="00EB7500" w:rsidP="00EB7500">
      <w:pPr>
        <w:pBdr>
          <w:bottom w:val="single" w:sz="6" w:space="8" w:color="E5E5E5"/>
        </w:pBdr>
        <w:spacing w:before="100" w:beforeAutospacing="1" w:after="100" w:afterAutospacing="1" w:line="240" w:lineRule="auto"/>
        <w:outlineLvl w:val="2"/>
        <w:rPr>
          <w:rFonts w:eastAsia="Times New Roman"/>
          <w:b/>
          <w:bCs/>
          <w:sz w:val="27"/>
          <w:szCs w:val="27"/>
          <w:lang w:eastAsia="fr-FR"/>
        </w:rPr>
      </w:pPr>
      <w:bookmarkStart w:id="7" w:name="s5"/>
      <w:bookmarkEnd w:id="7"/>
      <w:r w:rsidRPr="00EB7500">
        <w:rPr>
          <w:rFonts w:eastAsia="Times New Roman"/>
          <w:b/>
          <w:bCs/>
          <w:sz w:val="27"/>
          <w:szCs w:val="27"/>
          <w:lang w:eastAsia="fr-FR"/>
        </w:rPr>
        <w:lastRenderedPageBreak/>
        <w:t>Interdiction de servir les personnes ivres et les mineurs</w:t>
      </w:r>
    </w:p>
    <w:p w:rsidR="00EB7500" w:rsidRPr="00EB7500" w:rsidRDefault="00EB7500" w:rsidP="00EB7500">
      <w:pPr>
        <w:spacing w:after="0" w:line="240" w:lineRule="auto"/>
        <w:rPr>
          <w:rFonts w:eastAsia="Times New Roman"/>
          <w:lang w:eastAsia="fr-FR"/>
        </w:rPr>
      </w:pPr>
      <w:bookmarkStart w:id="8" w:name="5543"/>
      <w:bookmarkEnd w:id="8"/>
      <w:r w:rsidRPr="00EB7500">
        <w:rPr>
          <w:rFonts w:eastAsia="Times New Roman"/>
          <w:sz w:val="22"/>
          <w:szCs w:val="22"/>
          <w:lang w:eastAsia="fr-FR"/>
        </w:rPr>
        <w:t>5543</w:t>
      </w:r>
    </w:p>
    <w:p w:rsidR="00EB7500" w:rsidRPr="00EB7500" w:rsidRDefault="00EB7500" w:rsidP="00EB7500">
      <w:pPr>
        <w:spacing w:after="0" w:line="240" w:lineRule="auto"/>
        <w:rPr>
          <w:rFonts w:eastAsia="Times New Roman"/>
          <w:sz w:val="29"/>
          <w:szCs w:val="29"/>
          <w:lang w:eastAsia="fr-FR"/>
        </w:rPr>
      </w:pPr>
      <w:r w:rsidRPr="00EB7500">
        <w:rPr>
          <w:rFonts w:eastAsia="Times New Roman"/>
          <w:sz w:val="29"/>
          <w:szCs w:val="29"/>
          <w:lang w:eastAsia="fr-FR"/>
        </w:rPr>
        <w:t>Les débitants de boissons ne doivent pas donner à boire à des gens manifestement ivres (c. santé pub. </w:t>
      </w:r>
      <w:hyperlink r:id="rId10" w:tgtFrame="_blank" w:history="1">
        <w:r w:rsidRPr="00EB7500">
          <w:rPr>
            <w:rFonts w:eastAsia="Times New Roman"/>
            <w:color w:val="0000FF"/>
            <w:sz w:val="21"/>
            <w:szCs w:val="21"/>
            <w:u w:val="single"/>
            <w:lang w:eastAsia="fr-FR"/>
          </w:rPr>
          <w:t>art. R. 3353-2</w:t>
        </w:r>
      </w:hyperlink>
      <w:r w:rsidRPr="00EB7500">
        <w:rPr>
          <w:rFonts w:eastAsia="Times New Roman"/>
          <w:sz w:val="29"/>
          <w:szCs w:val="29"/>
          <w:lang w:eastAsia="fr-FR"/>
        </w:rPr>
        <w:t>). L’amende prévue est celle des contraventions de quatrième classe : 750 € lorsque la contravention est reprochée à une personne physique, 3 750 € lorsque les poursuites sont engagées contre une personne morale (l’association ayant organisé la buvette, par exemple).</w:t>
      </w:r>
    </w:p>
    <w:p w:rsidR="00EB7500" w:rsidRPr="00EB7500" w:rsidRDefault="00EB7500" w:rsidP="00EB7500">
      <w:pPr>
        <w:spacing w:after="0" w:line="240" w:lineRule="auto"/>
        <w:rPr>
          <w:rFonts w:eastAsia="Times New Roman"/>
          <w:sz w:val="29"/>
          <w:szCs w:val="29"/>
          <w:lang w:eastAsia="fr-FR"/>
        </w:rPr>
      </w:pPr>
      <w:r w:rsidRPr="00EB7500">
        <w:rPr>
          <w:rFonts w:eastAsia="Times New Roman"/>
          <w:sz w:val="29"/>
          <w:szCs w:val="29"/>
          <w:lang w:eastAsia="fr-FR"/>
        </w:rPr>
        <w:t>Par ailleurs, la vente de boissons alcooliques à des mineurs est interdite, l’offre gratuite également. La personne qui délivre la boisson peut exiger du client qu’il établisse la preuve de sa majorité (c. santé pub. </w:t>
      </w:r>
      <w:hyperlink r:id="rId11" w:tgtFrame="_blank" w:history="1">
        <w:r w:rsidRPr="00EB7500">
          <w:rPr>
            <w:rFonts w:eastAsia="Times New Roman"/>
            <w:color w:val="0000FF"/>
            <w:sz w:val="21"/>
            <w:szCs w:val="21"/>
            <w:u w:val="single"/>
            <w:lang w:eastAsia="fr-FR"/>
          </w:rPr>
          <w:t>art. L. 3342-1</w:t>
        </w:r>
      </w:hyperlink>
      <w:r w:rsidRPr="00EB7500">
        <w:rPr>
          <w:rFonts w:eastAsia="Times New Roman"/>
          <w:sz w:val="29"/>
          <w:szCs w:val="29"/>
          <w:lang w:eastAsia="fr-FR"/>
        </w:rPr>
        <w:t>). La vente aux mineurs est un délit sanctionné notamment par une amende qui peut atteindre 7 500 € lorsque les poursuites sont dirigées contre une personne physique et 37 500 € si elles sont dirigées contre l’association (c. santé pub. </w:t>
      </w:r>
      <w:hyperlink r:id="rId12" w:tgtFrame="_blank" w:history="1">
        <w:r w:rsidRPr="00EB7500">
          <w:rPr>
            <w:rFonts w:eastAsia="Times New Roman"/>
            <w:color w:val="0000FF"/>
            <w:sz w:val="21"/>
            <w:szCs w:val="21"/>
            <w:u w:val="single"/>
            <w:lang w:eastAsia="fr-FR"/>
          </w:rPr>
          <w:t>art. L. 3353-3</w:t>
        </w:r>
      </w:hyperlink>
      <w:r w:rsidRPr="00EB7500">
        <w:rPr>
          <w:rFonts w:eastAsia="Times New Roman"/>
          <w:sz w:val="29"/>
          <w:szCs w:val="29"/>
          <w:lang w:eastAsia="fr-FR"/>
        </w:rPr>
        <w:t>).</w:t>
      </w:r>
    </w:p>
    <w:p w:rsidR="00EB7500" w:rsidRPr="00EB7500" w:rsidRDefault="00EB7500" w:rsidP="00EB7500">
      <w:pPr>
        <w:spacing w:line="240" w:lineRule="auto"/>
        <w:rPr>
          <w:rFonts w:eastAsia="Times New Roman"/>
          <w:color w:val="999999"/>
          <w:sz w:val="20"/>
          <w:szCs w:val="20"/>
          <w:lang w:eastAsia="fr-FR"/>
        </w:rPr>
      </w:pPr>
      <w:r w:rsidRPr="00EB7500">
        <w:rPr>
          <w:rFonts w:eastAsia="Times New Roman"/>
          <w:b/>
          <w:bCs/>
          <w:color w:val="999999"/>
          <w:sz w:val="20"/>
          <w:szCs w:val="20"/>
          <w:lang w:eastAsia="fr-FR"/>
        </w:rPr>
        <w:t>Poursuites pénales contre des bénévoles. </w:t>
      </w:r>
      <w:r w:rsidRPr="00EB7500">
        <w:rPr>
          <w:rFonts w:eastAsia="Times New Roman"/>
          <w:color w:val="999999"/>
          <w:sz w:val="20"/>
          <w:szCs w:val="20"/>
          <w:lang w:eastAsia="fr-FR"/>
        </w:rPr>
        <w:t>Un sénateur s’est inquiété auprès du ministre de la Justice du fait que le président d’une association sportive et le tenancier de la buvette (ouverte à l’occasion d’une fête organisée par cette association) avaient été cités à comparaître devant le tribunal de police en application de l’article R. 3353-2 du code de la santé publique. Le sénateur estimait que des bénévoles, comme l’étaient le président et le tenancier, ne devaient pas faire l’objet de poursuites, au risque de décourager le bénévolat et les fêtes locales. Le ministre a répondu que l’article R. 3353-2 ne faisait aucune différence entre les débits permanents et les débits temporaires, ou entre les exploitants professionnels et les exploitants bénévoles (rép. Beaumont n° 20706, JO 3 août 2006, AN quest. p. 2079).</w:t>
      </w:r>
    </w:p>
    <w:p w:rsidR="00EB7500" w:rsidRPr="00EB7500" w:rsidRDefault="00EB7500" w:rsidP="00EB7500">
      <w:pPr>
        <w:spacing w:before="100" w:beforeAutospacing="1" w:after="100" w:afterAutospacing="1" w:line="240" w:lineRule="auto"/>
        <w:outlineLvl w:val="1"/>
        <w:rPr>
          <w:rFonts w:eastAsia="Times New Roman"/>
          <w:b/>
          <w:bCs/>
          <w:sz w:val="36"/>
          <w:szCs w:val="36"/>
          <w:lang w:eastAsia="fr-FR"/>
        </w:rPr>
      </w:pPr>
      <w:bookmarkStart w:id="9" w:name="s6"/>
      <w:bookmarkEnd w:id="9"/>
      <w:r w:rsidRPr="00EB7500">
        <w:rPr>
          <w:rFonts w:eastAsia="Times New Roman"/>
          <w:b/>
          <w:bCs/>
          <w:sz w:val="36"/>
          <w:szCs w:val="36"/>
          <w:lang w:eastAsia="fr-FR"/>
        </w:rPr>
        <w:t>Régime des débits de boissons</w:t>
      </w:r>
    </w:p>
    <w:p w:rsidR="00EB7500" w:rsidRPr="00EB7500" w:rsidRDefault="00EB7500" w:rsidP="00EB7500">
      <w:pPr>
        <w:pBdr>
          <w:bottom w:val="single" w:sz="6" w:space="8" w:color="E5E5E5"/>
        </w:pBdr>
        <w:spacing w:before="100" w:beforeAutospacing="1" w:after="100" w:afterAutospacing="1" w:line="240" w:lineRule="auto"/>
        <w:outlineLvl w:val="2"/>
        <w:rPr>
          <w:rFonts w:eastAsia="Times New Roman"/>
          <w:b/>
          <w:bCs/>
          <w:sz w:val="27"/>
          <w:szCs w:val="27"/>
          <w:lang w:eastAsia="fr-FR"/>
        </w:rPr>
      </w:pPr>
      <w:bookmarkStart w:id="10" w:name="s7"/>
      <w:bookmarkEnd w:id="10"/>
      <w:r w:rsidRPr="00EB7500">
        <w:rPr>
          <w:rFonts w:eastAsia="Times New Roman"/>
          <w:b/>
          <w:bCs/>
          <w:sz w:val="27"/>
          <w:szCs w:val="27"/>
          <w:lang w:eastAsia="fr-FR"/>
        </w:rPr>
        <w:t>Déclarations normales pour ouvrir une buvette</w:t>
      </w:r>
    </w:p>
    <w:p w:rsidR="00EB7500" w:rsidRPr="00EB7500" w:rsidRDefault="00EB7500" w:rsidP="00EB7500">
      <w:pPr>
        <w:spacing w:after="0" w:line="240" w:lineRule="auto"/>
        <w:rPr>
          <w:rFonts w:eastAsia="Times New Roman"/>
          <w:lang w:eastAsia="fr-FR"/>
        </w:rPr>
      </w:pPr>
      <w:bookmarkStart w:id="11" w:name="5544"/>
      <w:bookmarkEnd w:id="11"/>
      <w:r w:rsidRPr="00EB7500">
        <w:rPr>
          <w:rFonts w:eastAsia="Times New Roman"/>
          <w:sz w:val="22"/>
          <w:szCs w:val="22"/>
          <w:lang w:eastAsia="fr-FR"/>
        </w:rPr>
        <w:t>5544</w:t>
      </w:r>
    </w:p>
    <w:p w:rsidR="00EB7500" w:rsidRPr="00EB7500" w:rsidRDefault="00EB7500" w:rsidP="00EB7500">
      <w:pPr>
        <w:spacing w:after="0" w:line="240" w:lineRule="auto"/>
        <w:rPr>
          <w:rFonts w:eastAsia="Times New Roman"/>
          <w:sz w:val="29"/>
          <w:szCs w:val="29"/>
          <w:lang w:eastAsia="fr-FR"/>
        </w:rPr>
      </w:pPr>
      <w:r w:rsidRPr="00EB7500">
        <w:rPr>
          <w:rFonts w:eastAsia="Times New Roman"/>
          <w:sz w:val="29"/>
          <w:szCs w:val="29"/>
          <w:lang w:eastAsia="fr-FR"/>
        </w:rPr>
        <w:t>En dehors du cas des buvettes temporaires (voir § </w:t>
      </w:r>
      <w:hyperlink r:id="rId13" w:anchor="5549" w:history="1">
        <w:r w:rsidRPr="00EB7500">
          <w:rPr>
            <w:rFonts w:eastAsia="Times New Roman"/>
            <w:color w:val="0000FF"/>
            <w:sz w:val="29"/>
            <w:szCs w:val="29"/>
            <w:u w:val="single"/>
            <w:lang w:eastAsia="fr-FR"/>
          </w:rPr>
          <w:t>5549</w:t>
        </w:r>
      </w:hyperlink>
      <w:r w:rsidRPr="00EB7500">
        <w:rPr>
          <w:rFonts w:eastAsia="Times New Roman"/>
          <w:sz w:val="29"/>
          <w:szCs w:val="29"/>
          <w:lang w:eastAsia="fr-FR"/>
        </w:rPr>
        <w:t>), l’ouverture d’un débit de boissons nécessite une déclaration 15 jours au moins à l’avance, qui doit être faite en mairie (à Paris, à la préfecture de police), généralement au moyen d’un formulaire fourni par l’administration, sur lequel sont portés les renseignements permettant d’identifier l’exploitant, la situation du débit de boissons et la nature des boissons vendues. Cette déclaration est transmise, par les soins du maire, au procureur de la République et au préfet (c. santé pub. </w:t>
      </w:r>
      <w:hyperlink r:id="rId14" w:tgtFrame="_blank" w:history="1">
        <w:r w:rsidRPr="00EB7500">
          <w:rPr>
            <w:rFonts w:eastAsia="Times New Roman"/>
            <w:color w:val="0000FF"/>
            <w:sz w:val="21"/>
            <w:szCs w:val="21"/>
            <w:u w:val="single"/>
            <w:lang w:eastAsia="fr-FR"/>
          </w:rPr>
          <w:t>art. L. 3332-3</w:t>
        </w:r>
      </w:hyperlink>
      <w:r w:rsidRPr="00EB7500">
        <w:rPr>
          <w:rFonts w:eastAsia="Times New Roman"/>
          <w:sz w:val="29"/>
          <w:szCs w:val="29"/>
          <w:lang w:eastAsia="fr-FR"/>
        </w:rPr>
        <w:t>).</w:t>
      </w:r>
    </w:p>
    <w:p w:rsidR="00EB7500" w:rsidRPr="00EB7500" w:rsidRDefault="00EB7500" w:rsidP="00EB7500">
      <w:pPr>
        <w:numPr>
          <w:ilvl w:val="0"/>
          <w:numId w:val="1"/>
        </w:numPr>
        <w:spacing w:after="150" w:line="240" w:lineRule="auto"/>
        <w:ind w:left="1695"/>
        <w:rPr>
          <w:rFonts w:eastAsia="Times New Roman"/>
          <w:sz w:val="29"/>
          <w:szCs w:val="29"/>
          <w:lang w:eastAsia="fr-FR"/>
        </w:rPr>
      </w:pPr>
      <w:r w:rsidRPr="00EB7500">
        <w:rPr>
          <w:rFonts w:eastAsia="Times New Roman"/>
          <w:b/>
          <w:bCs/>
          <w:sz w:val="29"/>
          <w:szCs w:val="29"/>
          <w:lang w:eastAsia="fr-FR"/>
        </w:rPr>
        <w:t>Zone de protection.</w:t>
      </w:r>
      <w:r w:rsidRPr="00EB7500">
        <w:rPr>
          <w:rFonts w:eastAsia="Times New Roman"/>
          <w:sz w:val="29"/>
          <w:szCs w:val="29"/>
          <w:lang w:eastAsia="fr-FR"/>
        </w:rPr>
        <w:t> L’installation de débits de boissons à consommer sur place, même à titre temporaire, est interdite par le préfet dans des zones dites « de protection » autour de certains lieux, établissements (hôpitaux, maisons de retraite, établissements de cure et de soins, stades, piscines, terrains de sports publics ou privés…) (c. santé pub. </w:t>
      </w:r>
      <w:hyperlink r:id="rId15" w:tgtFrame="_blank" w:history="1">
        <w:r w:rsidRPr="00EB7500">
          <w:rPr>
            <w:rFonts w:eastAsia="Times New Roman"/>
            <w:color w:val="0000FF"/>
            <w:sz w:val="21"/>
            <w:szCs w:val="21"/>
            <w:u w:val="single"/>
            <w:lang w:eastAsia="fr-FR"/>
          </w:rPr>
          <w:t>art. L. 3335-1</w:t>
        </w:r>
      </w:hyperlink>
      <w:r w:rsidRPr="00EB7500">
        <w:rPr>
          <w:rFonts w:eastAsia="Times New Roman"/>
          <w:sz w:val="29"/>
          <w:szCs w:val="29"/>
          <w:lang w:eastAsia="fr-FR"/>
        </w:rPr>
        <w:t>).</w:t>
      </w:r>
    </w:p>
    <w:p w:rsidR="00EB7500" w:rsidRPr="00EB7500" w:rsidRDefault="00EB7500" w:rsidP="00EB7500">
      <w:pPr>
        <w:numPr>
          <w:ilvl w:val="0"/>
          <w:numId w:val="1"/>
        </w:numPr>
        <w:spacing w:before="150" w:after="150" w:line="240" w:lineRule="auto"/>
        <w:ind w:left="1695"/>
        <w:rPr>
          <w:rFonts w:eastAsia="Times New Roman"/>
          <w:sz w:val="29"/>
          <w:szCs w:val="29"/>
          <w:lang w:eastAsia="fr-FR"/>
        </w:rPr>
      </w:pPr>
      <w:r w:rsidRPr="00EB7500">
        <w:rPr>
          <w:rFonts w:eastAsia="Times New Roman"/>
          <w:b/>
          <w:bCs/>
          <w:sz w:val="29"/>
          <w:szCs w:val="29"/>
          <w:lang w:eastAsia="fr-FR"/>
        </w:rPr>
        <w:t>Débit de 3</w:t>
      </w:r>
      <w:r w:rsidRPr="00EB7500">
        <w:rPr>
          <w:rFonts w:eastAsia="Times New Roman"/>
          <w:b/>
          <w:bCs/>
          <w:sz w:val="29"/>
          <w:szCs w:val="29"/>
          <w:vertAlign w:val="superscript"/>
          <w:lang w:eastAsia="fr-FR"/>
        </w:rPr>
        <w:t>e</w:t>
      </w:r>
      <w:r w:rsidRPr="00EB7500">
        <w:rPr>
          <w:rFonts w:eastAsia="Times New Roman"/>
          <w:b/>
          <w:bCs/>
          <w:sz w:val="29"/>
          <w:szCs w:val="29"/>
          <w:lang w:eastAsia="fr-FR"/>
        </w:rPr>
        <w:t> catégorie.</w:t>
      </w:r>
      <w:r w:rsidRPr="00EB7500">
        <w:rPr>
          <w:rFonts w:eastAsia="Times New Roman"/>
          <w:sz w:val="29"/>
          <w:szCs w:val="29"/>
          <w:lang w:eastAsia="fr-FR"/>
        </w:rPr>
        <w:t> Une association ne peut ouvrir un débit de boissons de 3</w:t>
      </w:r>
      <w:r w:rsidRPr="00EB7500">
        <w:rPr>
          <w:rFonts w:eastAsia="Times New Roman"/>
          <w:sz w:val="29"/>
          <w:szCs w:val="29"/>
          <w:vertAlign w:val="superscript"/>
          <w:lang w:eastAsia="fr-FR"/>
        </w:rPr>
        <w:t>e </w:t>
      </w:r>
      <w:r w:rsidRPr="00EB7500">
        <w:rPr>
          <w:rFonts w:eastAsia="Times New Roman"/>
          <w:sz w:val="29"/>
          <w:szCs w:val="29"/>
          <w:lang w:eastAsia="fr-FR"/>
        </w:rPr>
        <w:t xml:space="preserve">catégorie dans les communes où le total des </w:t>
      </w:r>
      <w:r w:rsidRPr="00EB7500">
        <w:rPr>
          <w:rFonts w:eastAsia="Times New Roman"/>
          <w:sz w:val="29"/>
          <w:szCs w:val="29"/>
          <w:lang w:eastAsia="fr-FR"/>
        </w:rPr>
        <w:lastRenderedPageBreak/>
        <w:t>établissements de cette nature et des établissements de 4</w:t>
      </w:r>
      <w:r w:rsidRPr="00EB7500">
        <w:rPr>
          <w:rFonts w:eastAsia="Times New Roman"/>
          <w:sz w:val="29"/>
          <w:szCs w:val="29"/>
          <w:vertAlign w:val="superscript"/>
          <w:lang w:eastAsia="fr-FR"/>
        </w:rPr>
        <w:t>e</w:t>
      </w:r>
      <w:r w:rsidRPr="00EB7500">
        <w:rPr>
          <w:rFonts w:eastAsia="Times New Roman"/>
          <w:sz w:val="29"/>
          <w:szCs w:val="29"/>
          <w:lang w:eastAsia="fr-FR"/>
        </w:rPr>
        <w:t> catégorie atteint ou dépasse la proportion d'un débit pour 450 habitants, ou fraction de ce nombre (c. santé pub. </w:t>
      </w:r>
      <w:hyperlink r:id="rId16" w:tgtFrame="_blank" w:history="1">
        <w:r w:rsidRPr="00EB7500">
          <w:rPr>
            <w:rFonts w:eastAsia="Times New Roman"/>
            <w:color w:val="0000FF"/>
            <w:sz w:val="21"/>
            <w:szCs w:val="21"/>
            <w:u w:val="single"/>
            <w:lang w:eastAsia="fr-FR"/>
          </w:rPr>
          <w:t>L. 3332-1</w:t>
        </w:r>
      </w:hyperlink>
      <w:r w:rsidRPr="00EB7500">
        <w:rPr>
          <w:rFonts w:eastAsia="Times New Roman"/>
          <w:sz w:val="29"/>
          <w:szCs w:val="29"/>
          <w:lang w:eastAsia="fr-FR"/>
        </w:rPr>
        <w:t>) (sur ces catégories, voir § 5547).</w:t>
      </w:r>
    </w:p>
    <w:p w:rsidR="00EB7500" w:rsidRPr="00EB7500" w:rsidRDefault="00EB7500" w:rsidP="00EB7500">
      <w:pPr>
        <w:numPr>
          <w:ilvl w:val="0"/>
          <w:numId w:val="1"/>
        </w:numPr>
        <w:spacing w:before="150" w:line="240" w:lineRule="auto"/>
        <w:ind w:left="1695"/>
        <w:rPr>
          <w:rFonts w:eastAsia="Times New Roman"/>
          <w:sz w:val="29"/>
          <w:szCs w:val="29"/>
          <w:lang w:eastAsia="fr-FR"/>
        </w:rPr>
      </w:pPr>
      <w:r w:rsidRPr="00EB7500">
        <w:rPr>
          <w:rFonts w:eastAsia="Times New Roman"/>
          <w:b/>
          <w:bCs/>
          <w:sz w:val="29"/>
          <w:szCs w:val="29"/>
          <w:lang w:eastAsia="fr-FR"/>
        </w:rPr>
        <w:t>Restauration. </w:t>
      </w:r>
      <w:r w:rsidRPr="00EB7500">
        <w:rPr>
          <w:rFonts w:eastAsia="Times New Roman"/>
          <w:sz w:val="29"/>
          <w:szCs w:val="29"/>
          <w:lang w:eastAsia="fr-FR"/>
        </w:rPr>
        <w:t>Les débits de boissons proposant un service de petite restauration, des sandwichs, par exemple, doivent compter dans leurs effectifs au moins une personne ayant suivi une formation spécifique en matière d’hygiène alimentaire (c. rur. et de la pêche maritime art. L. 233-4, al. 1er et D. 233-11).</w:t>
      </w:r>
    </w:p>
    <w:p w:rsidR="00EB7500" w:rsidRPr="00EB7500" w:rsidRDefault="00EB7500" w:rsidP="00EB7500">
      <w:pPr>
        <w:pBdr>
          <w:bottom w:val="single" w:sz="6" w:space="8" w:color="E5E5E5"/>
        </w:pBdr>
        <w:spacing w:before="100" w:beforeAutospacing="1" w:after="100" w:afterAutospacing="1" w:line="240" w:lineRule="auto"/>
        <w:outlineLvl w:val="2"/>
        <w:rPr>
          <w:rFonts w:eastAsia="Times New Roman"/>
          <w:b/>
          <w:bCs/>
          <w:sz w:val="27"/>
          <w:szCs w:val="27"/>
          <w:lang w:eastAsia="fr-FR"/>
        </w:rPr>
      </w:pPr>
      <w:bookmarkStart w:id="12" w:name="s8"/>
      <w:bookmarkEnd w:id="12"/>
      <w:r w:rsidRPr="00EB7500">
        <w:rPr>
          <w:rFonts w:eastAsia="Times New Roman"/>
          <w:b/>
          <w:bCs/>
          <w:sz w:val="27"/>
          <w:szCs w:val="27"/>
          <w:lang w:eastAsia="fr-FR"/>
        </w:rPr>
        <w:t>Buvette au profit des seuls adhérents</w:t>
      </w:r>
    </w:p>
    <w:p w:rsidR="00EB7500" w:rsidRPr="00EB7500" w:rsidRDefault="00EB7500" w:rsidP="00EB7500">
      <w:pPr>
        <w:spacing w:after="0" w:line="240" w:lineRule="auto"/>
        <w:rPr>
          <w:rFonts w:eastAsia="Times New Roman"/>
          <w:lang w:eastAsia="fr-FR"/>
        </w:rPr>
      </w:pPr>
      <w:bookmarkStart w:id="13" w:name="5545"/>
      <w:bookmarkEnd w:id="13"/>
      <w:r w:rsidRPr="00EB7500">
        <w:rPr>
          <w:rFonts w:eastAsia="Times New Roman"/>
          <w:sz w:val="22"/>
          <w:szCs w:val="22"/>
          <w:lang w:eastAsia="fr-FR"/>
        </w:rPr>
        <w:t>5545</w:t>
      </w:r>
    </w:p>
    <w:p w:rsidR="00EB7500" w:rsidRPr="00EB7500" w:rsidRDefault="00EB7500" w:rsidP="00EB7500">
      <w:pPr>
        <w:spacing w:after="0" w:line="240" w:lineRule="auto"/>
        <w:rPr>
          <w:rFonts w:eastAsia="Times New Roman"/>
          <w:sz w:val="29"/>
          <w:szCs w:val="29"/>
          <w:lang w:eastAsia="fr-FR"/>
        </w:rPr>
      </w:pPr>
      <w:r w:rsidRPr="00EB7500">
        <w:rPr>
          <w:rFonts w:eastAsia="Times New Roman"/>
          <w:sz w:val="29"/>
          <w:szCs w:val="29"/>
          <w:lang w:eastAsia="fr-FR"/>
        </w:rPr>
        <w:t>Lorsque l’exploitation ne revêt pas un caractère commercial, les cercles privés (associations) ne sont pas soumis à la réglementation administrative des débits de boissons s’ils servent, à leurs seuls adhérents, des boissons sans alcool, du vin, de la bière, du cidre, du poiré, de l’hydromel, des vins doux naturels bénéficiant du régime fiscal des vins (CGI art. </w:t>
      </w:r>
      <w:hyperlink r:id="rId17" w:tgtFrame="_blank" w:history="1">
        <w:r w:rsidRPr="00EB7500">
          <w:rPr>
            <w:rFonts w:eastAsia="Times New Roman"/>
            <w:color w:val="0000FF"/>
            <w:sz w:val="21"/>
            <w:szCs w:val="21"/>
            <w:u w:val="single"/>
            <w:lang w:eastAsia="fr-FR"/>
          </w:rPr>
          <w:t>1655</w:t>
        </w:r>
      </w:hyperlink>
      <w:r w:rsidRPr="00EB7500">
        <w:rPr>
          <w:rFonts w:eastAsia="Times New Roman"/>
          <w:sz w:val="29"/>
          <w:szCs w:val="29"/>
          <w:lang w:eastAsia="fr-FR"/>
        </w:rPr>
        <w:t>, al. 2).</w:t>
      </w:r>
    </w:p>
    <w:p w:rsidR="00EB7500" w:rsidRPr="00EB7500" w:rsidRDefault="00EB7500" w:rsidP="00EB7500">
      <w:pPr>
        <w:spacing w:after="150" w:line="240" w:lineRule="auto"/>
        <w:rPr>
          <w:rFonts w:eastAsia="Times New Roman"/>
          <w:color w:val="999999"/>
          <w:sz w:val="20"/>
          <w:szCs w:val="20"/>
          <w:lang w:eastAsia="fr-FR"/>
        </w:rPr>
      </w:pPr>
      <w:r w:rsidRPr="00EB7500">
        <w:rPr>
          <w:rFonts w:eastAsia="Times New Roman"/>
          <w:b/>
          <w:bCs/>
          <w:color w:val="999999"/>
          <w:sz w:val="20"/>
          <w:szCs w:val="20"/>
          <w:lang w:eastAsia="fr-FR"/>
        </w:rPr>
        <w:t>Vente aux seuls membres.</w:t>
      </w:r>
      <w:r w:rsidRPr="00EB7500">
        <w:rPr>
          <w:rFonts w:eastAsia="Times New Roman"/>
          <w:color w:val="999999"/>
          <w:sz w:val="20"/>
          <w:szCs w:val="20"/>
          <w:lang w:eastAsia="fr-FR"/>
        </w:rPr>
        <w:t> La vente sera réservée aux seuls membres, tous tiers, y compris les parents des adhérents, devant être exclus.</w:t>
      </w:r>
    </w:p>
    <w:p w:rsidR="00EB7500" w:rsidRPr="00EB7500" w:rsidRDefault="00EB7500" w:rsidP="00EB7500">
      <w:pPr>
        <w:spacing w:before="150" w:line="240" w:lineRule="auto"/>
        <w:rPr>
          <w:rFonts w:eastAsia="Times New Roman"/>
          <w:color w:val="999999"/>
          <w:sz w:val="20"/>
          <w:szCs w:val="20"/>
          <w:lang w:eastAsia="fr-FR"/>
        </w:rPr>
      </w:pPr>
      <w:r w:rsidRPr="00EB7500">
        <w:rPr>
          <w:rFonts w:eastAsia="Times New Roman"/>
          <w:color w:val="999999"/>
          <w:sz w:val="20"/>
          <w:szCs w:val="20"/>
          <w:lang w:eastAsia="fr-FR"/>
        </w:rPr>
        <w:t>S’agissant de la vente aux tiers, le tribunal administratif de Nantes a ordonné la fermeture de la buvette d’une association sur ce fondement. Le Conseil d’État a censuré cette décision dans la mesure où la preuve n’était pas rapportée que la buvette était ouverte à d’autres personnes que les sociétaires (CE 10 février 1992, DS 1992 IR 91).</w:t>
      </w:r>
    </w:p>
    <w:p w:rsidR="00EB7500" w:rsidRPr="00EB7500" w:rsidRDefault="00EB7500" w:rsidP="00EB7500">
      <w:pPr>
        <w:pBdr>
          <w:bottom w:val="single" w:sz="6" w:space="8" w:color="E5E5E5"/>
        </w:pBdr>
        <w:spacing w:before="100" w:beforeAutospacing="1" w:after="100" w:afterAutospacing="1" w:line="240" w:lineRule="auto"/>
        <w:outlineLvl w:val="2"/>
        <w:rPr>
          <w:rFonts w:eastAsia="Times New Roman"/>
          <w:b/>
          <w:bCs/>
          <w:sz w:val="27"/>
          <w:szCs w:val="27"/>
          <w:lang w:eastAsia="fr-FR"/>
        </w:rPr>
      </w:pPr>
      <w:bookmarkStart w:id="14" w:name="s9"/>
      <w:bookmarkEnd w:id="14"/>
      <w:r w:rsidRPr="00EB7500">
        <w:rPr>
          <w:rFonts w:eastAsia="Times New Roman"/>
          <w:b/>
          <w:bCs/>
          <w:sz w:val="27"/>
          <w:szCs w:val="27"/>
          <w:lang w:eastAsia="fr-FR"/>
        </w:rPr>
        <w:t>Classification des boissons</w:t>
      </w:r>
    </w:p>
    <w:p w:rsidR="00EB7500" w:rsidRPr="00EB7500" w:rsidRDefault="00EB7500" w:rsidP="00EB7500">
      <w:pPr>
        <w:spacing w:after="0" w:line="240" w:lineRule="auto"/>
        <w:rPr>
          <w:rFonts w:eastAsia="Times New Roman"/>
          <w:lang w:eastAsia="fr-FR"/>
        </w:rPr>
      </w:pPr>
      <w:bookmarkStart w:id="15" w:name="5546"/>
      <w:bookmarkEnd w:id="15"/>
      <w:r w:rsidRPr="00EB7500">
        <w:rPr>
          <w:rFonts w:eastAsia="Times New Roman"/>
          <w:sz w:val="22"/>
          <w:szCs w:val="22"/>
          <w:lang w:eastAsia="fr-FR"/>
        </w:rPr>
        <w:t>5546</w:t>
      </w:r>
    </w:p>
    <w:p w:rsidR="00EB7500" w:rsidRPr="00EB7500" w:rsidRDefault="00EB7500" w:rsidP="00EB7500">
      <w:pPr>
        <w:spacing w:after="0" w:line="240" w:lineRule="auto"/>
        <w:rPr>
          <w:rFonts w:eastAsia="Times New Roman"/>
          <w:sz w:val="29"/>
          <w:szCs w:val="29"/>
          <w:lang w:eastAsia="fr-FR"/>
        </w:rPr>
      </w:pPr>
      <w:r w:rsidRPr="00EB7500">
        <w:rPr>
          <w:rFonts w:eastAsia="Times New Roman"/>
          <w:sz w:val="29"/>
          <w:szCs w:val="29"/>
          <w:lang w:eastAsia="fr-FR"/>
        </w:rPr>
        <w:t>Les boissons sont classées en quatre groupes.</w:t>
      </w:r>
    </w:p>
    <w:p w:rsidR="00EB7500" w:rsidRPr="00EB7500" w:rsidRDefault="00EB7500" w:rsidP="00EB7500">
      <w:pPr>
        <w:numPr>
          <w:ilvl w:val="0"/>
          <w:numId w:val="2"/>
        </w:numPr>
        <w:spacing w:after="150" w:line="240" w:lineRule="auto"/>
        <w:ind w:left="1695"/>
        <w:rPr>
          <w:rFonts w:eastAsia="Times New Roman"/>
          <w:sz w:val="29"/>
          <w:szCs w:val="29"/>
          <w:lang w:eastAsia="fr-FR"/>
        </w:rPr>
      </w:pPr>
      <w:r w:rsidRPr="00EB7500">
        <w:rPr>
          <w:rFonts w:eastAsia="Times New Roman"/>
          <w:b/>
          <w:bCs/>
          <w:sz w:val="29"/>
          <w:szCs w:val="29"/>
          <w:lang w:eastAsia="fr-FR"/>
        </w:rPr>
        <w:t>Groupe 1.</w:t>
      </w:r>
      <w:r w:rsidRPr="00EB7500">
        <w:rPr>
          <w:rFonts w:eastAsia="Times New Roman"/>
          <w:sz w:val="29"/>
          <w:szCs w:val="29"/>
          <w:lang w:eastAsia="fr-FR"/>
        </w:rPr>
        <w:t> Boissons sans alcool ou ne comportant pas de traces d’alcool supérieures à 1,2 % (eaux minérales aromatisées ou non, eaux gazéifiées, limonades, jus de fruits ou de légumes non fermentés, sirops, infusions, lait, café, thé, chocolat).</w:t>
      </w:r>
    </w:p>
    <w:p w:rsidR="00EB7500" w:rsidRPr="00EB7500" w:rsidRDefault="00EB7500" w:rsidP="00EB7500">
      <w:pPr>
        <w:numPr>
          <w:ilvl w:val="0"/>
          <w:numId w:val="2"/>
        </w:numPr>
        <w:spacing w:before="150" w:after="150" w:line="240" w:lineRule="auto"/>
        <w:ind w:left="1695"/>
        <w:rPr>
          <w:rFonts w:eastAsia="Times New Roman"/>
          <w:sz w:val="29"/>
          <w:szCs w:val="29"/>
          <w:lang w:eastAsia="fr-FR"/>
        </w:rPr>
      </w:pPr>
      <w:r w:rsidRPr="00EB7500">
        <w:rPr>
          <w:rFonts w:eastAsia="Times New Roman"/>
          <w:b/>
          <w:bCs/>
          <w:sz w:val="29"/>
          <w:szCs w:val="29"/>
          <w:lang w:eastAsia="fr-FR"/>
        </w:rPr>
        <w:t>Groupe 2.</w:t>
      </w:r>
      <w:r w:rsidRPr="00EB7500">
        <w:rPr>
          <w:rFonts w:eastAsia="Times New Roman"/>
          <w:sz w:val="29"/>
          <w:szCs w:val="29"/>
          <w:lang w:eastAsia="fr-FR"/>
        </w:rPr>
        <w:t> Supprimé par l'article 12 de l'ordonnance 2015-1682 du 17 décembre 2015.</w:t>
      </w:r>
    </w:p>
    <w:p w:rsidR="00EB7500" w:rsidRPr="00EB7500" w:rsidRDefault="00EB7500" w:rsidP="00EB7500">
      <w:pPr>
        <w:numPr>
          <w:ilvl w:val="0"/>
          <w:numId w:val="2"/>
        </w:numPr>
        <w:spacing w:before="150" w:after="150" w:line="240" w:lineRule="auto"/>
        <w:ind w:left="1695"/>
        <w:rPr>
          <w:rFonts w:eastAsia="Times New Roman"/>
          <w:sz w:val="29"/>
          <w:szCs w:val="29"/>
          <w:lang w:eastAsia="fr-FR"/>
        </w:rPr>
      </w:pPr>
      <w:r w:rsidRPr="00EB7500">
        <w:rPr>
          <w:rFonts w:eastAsia="Times New Roman"/>
          <w:b/>
          <w:bCs/>
          <w:sz w:val="29"/>
          <w:szCs w:val="29"/>
          <w:lang w:eastAsia="fr-FR"/>
        </w:rPr>
        <w:t>Groupe 3. </w:t>
      </w:r>
      <w:r w:rsidRPr="00EB7500">
        <w:rPr>
          <w:rFonts w:eastAsia="Times New Roman"/>
          <w:sz w:val="29"/>
          <w:szCs w:val="29"/>
          <w:lang w:eastAsia="fr-FR"/>
        </w:rPr>
        <w:t>Boissons fermentées non distillées et vins doux naturels : vin, bière, cidre, poiré, hydromel, auxquelles sont joints les vins doux naturels, ainsi que les crèmes de cassis et les jus de fruits ou de légumes fermentés comportant de 1,2 à 3 % d'alcool, vins de liqueur, apéritifs à base de vin et liqueurs de fraises, framboises, cassis ou cerises, ne titrant pas plus de 18 % d'alcool pur.</w:t>
      </w:r>
    </w:p>
    <w:p w:rsidR="00EB7500" w:rsidRPr="00EB7500" w:rsidRDefault="00EB7500" w:rsidP="00EB7500">
      <w:pPr>
        <w:numPr>
          <w:ilvl w:val="0"/>
          <w:numId w:val="2"/>
        </w:numPr>
        <w:spacing w:before="150" w:after="150" w:line="240" w:lineRule="auto"/>
        <w:ind w:left="1695"/>
        <w:rPr>
          <w:rFonts w:eastAsia="Times New Roman"/>
          <w:sz w:val="29"/>
          <w:szCs w:val="29"/>
          <w:lang w:eastAsia="fr-FR"/>
        </w:rPr>
      </w:pPr>
      <w:r w:rsidRPr="00EB7500">
        <w:rPr>
          <w:rFonts w:eastAsia="Times New Roman"/>
          <w:b/>
          <w:bCs/>
          <w:sz w:val="29"/>
          <w:szCs w:val="29"/>
          <w:lang w:eastAsia="fr-FR"/>
        </w:rPr>
        <w:t>Groupe 4.</w:t>
      </w:r>
      <w:r w:rsidRPr="00EB7500">
        <w:rPr>
          <w:rFonts w:eastAsia="Times New Roman"/>
          <w:sz w:val="29"/>
          <w:szCs w:val="29"/>
          <w:lang w:eastAsia="fr-FR"/>
        </w:rPr>
        <w:t xml:space="preserve"> Rhums et tafias, alcools provenant de la distillation des vins, cidres, poirés ou fruits, et ne supportent aucune </w:t>
      </w:r>
      <w:r w:rsidRPr="00EB7500">
        <w:rPr>
          <w:rFonts w:eastAsia="Times New Roman"/>
          <w:sz w:val="29"/>
          <w:szCs w:val="29"/>
          <w:lang w:eastAsia="fr-FR"/>
        </w:rPr>
        <w:lastRenderedPageBreak/>
        <w:t>addition d'essence; liqueurs édulcorées au moyen de sucre, de glucose ou de miel à raison de 400 grammes minimum par litre pour les liqueurs anisées et de 200 grammes minimum par litre pour les autres liqueurs et ne contenant pas plus d'un demi-gramme d'essence par litre.</w:t>
      </w:r>
    </w:p>
    <w:p w:rsidR="00EB7500" w:rsidRPr="00EB7500" w:rsidRDefault="00EB7500" w:rsidP="00EB7500">
      <w:pPr>
        <w:numPr>
          <w:ilvl w:val="0"/>
          <w:numId w:val="2"/>
        </w:numPr>
        <w:spacing w:before="150" w:line="240" w:lineRule="auto"/>
        <w:ind w:left="1695"/>
        <w:rPr>
          <w:rFonts w:eastAsia="Times New Roman"/>
          <w:sz w:val="29"/>
          <w:szCs w:val="29"/>
          <w:lang w:eastAsia="fr-FR"/>
        </w:rPr>
      </w:pPr>
      <w:r w:rsidRPr="00EB7500">
        <w:rPr>
          <w:rFonts w:eastAsia="Times New Roman"/>
          <w:b/>
          <w:bCs/>
          <w:sz w:val="29"/>
          <w:szCs w:val="29"/>
          <w:lang w:eastAsia="fr-FR"/>
        </w:rPr>
        <w:t>Groupe 5.</w:t>
      </w:r>
      <w:r w:rsidRPr="00EB7500">
        <w:rPr>
          <w:rFonts w:eastAsia="Times New Roman"/>
          <w:sz w:val="29"/>
          <w:szCs w:val="29"/>
          <w:lang w:eastAsia="fr-FR"/>
        </w:rPr>
        <w:t> Toutes les autres boissons alcooliques (c. santé pub. </w:t>
      </w:r>
      <w:hyperlink r:id="rId18" w:tgtFrame="_blank" w:history="1">
        <w:r w:rsidRPr="00EB7500">
          <w:rPr>
            <w:rFonts w:eastAsia="Times New Roman"/>
            <w:color w:val="0000FF"/>
            <w:sz w:val="21"/>
            <w:szCs w:val="21"/>
            <w:u w:val="single"/>
            <w:lang w:eastAsia="fr-FR"/>
          </w:rPr>
          <w:t>art. L. 3321-1</w:t>
        </w:r>
      </w:hyperlink>
      <w:r w:rsidRPr="00EB7500">
        <w:rPr>
          <w:rFonts w:eastAsia="Times New Roman"/>
          <w:sz w:val="29"/>
          <w:szCs w:val="29"/>
          <w:lang w:eastAsia="fr-FR"/>
        </w:rPr>
        <w:t>).</w:t>
      </w:r>
    </w:p>
    <w:p w:rsidR="00EB7500" w:rsidRPr="00EB7500" w:rsidRDefault="00EB7500" w:rsidP="00EB7500">
      <w:pPr>
        <w:pBdr>
          <w:bottom w:val="single" w:sz="6" w:space="8" w:color="E5E5E5"/>
        </w:pBdr>
        <w:spacing w:before="100" w:beforeAutospacing="1" w:after="100" w:afterAutospacing="1" w:line="240" w:lineRule="auto"/>
        <w:outlineLvl w:val="2"/>
        <w:rPr>
          <w:rFonts w:eastAsia="Times New Roman"/>
          <w:b/>
          <w:bCs/>
          <w:sz w:val="27"/>
          <w:szCs w:val="27"/>
          <w:lang w:eastAsia="fr-FR"/>
        </w:rPr>
      </w:pPr>
      <w:bookmarkStart w:id="16" w:name="s10"/>
      <w:bookmarkEnd w:id="16"/>
      <w:r w:rsidRPr="00EB7500">
        <w:rPr>
          <w:rFonts w:eastAsia="Times New Roman"/>
          <w:b/>
          <w:bCs/>
          <w:sz w:val="27"/>
          <w:szCs w:val="27"/>
          <w:lang w:eastAsia="fr-FR"/>
        </w:rPr>
        <w:t>Classification des débits de boissons</w:t>
      </w:r>
    </w:p>
    <w:p w:rsidR="00EB7500" w:rsidRPr="00EB7500" w:rsidRDefault="00EB7500" w:rsidP="00EB7500">
      <w:pPr>
        <w:spacing w:after="0" w:line="240" w:lineRule="auto"/>
        <w:rPr>
          <w:rFonts w:eastAsia="Times New Roman"/>
          <w:lang w:eastAsia="fr-FR"/>
        </w:rPr>
      </w:pPr>
      <w:bookmarkStart w:id="17" w:name="5547"/>
      <w:bookmarkEnd w:id="17"/>
      <w:r w:rsidRPr="00EB7500">
        <w:rPr>
          <w:rFonts w:eastAsia="Times New Roman"/>
          <w:sz w:val="22"/>
          <w:szCs w:val="22"/>
          <w:lang w:eastAsia="fr-FR"/>
        </w:rPr>
        <w:t>5547</w:t>
      </w:r>
    </w:p>
    <w:p w:rsidR="00EB7500" w:rsidRPr="00EB7500" w:rsidRDefault="00EB7500" w:rsidP="00EB7500">
      <w:pPr>
        <w:spacing w:after="0" w:line="240" w:lineRule="auto"/>
        <w:rPr>
          <w:rFonts w:eastAsia="Times New Roman"/>
          <w:sz w:val="29"/>
          <w:szCs w:val="29"/>
          <w:lang w:eastAsia="fr-FR"/>
        </w:rPr>
      </w:pPr>
      <w:r w:rsidRPr="00EB7500">
        <w:rPr>
          <w:rFonts w:eastAsia="Times New Roman"/>
          <w:sz w:val="29"/>
          <w:szCs w:val="29"/>
          <w:lang w:eastAsia="fr-FR"/>
        </w:rPr>
        <w:t>Les débits de boissons sont répartis en trois groupes classés en fonction des modalités de vente des boissons : ventes à consommer sur place, ventes à l’occasion des repas, ventes à emporter.</w:t>
      </w:r>
    </w:p>
    <w:p w:rsidR="00EB7500" w:rsidRPr="00EB7500" w:rsidRDefault="00EB7500" w:rsidP="00EB7500">
      <w:pPr>
        <w:numPr>
          <w:ilvl w:val="0"/>
          <w:numId w:val="3"/>
        </w:numPr>
        <w:spacing w:after="150" w:line="240" w:lineRule="auto"/>
        <w:ind w:left="1695"/>
        <w:rPr>
          <w:rFonts w:eastAsia="Times New Roman"/>
          <w:sz w:val="29"/>
          <w:szCs w:val="29"/>
          <w:lang w:eastAsia="fr-FR"/>
        </w:rPr>
      </w:pPr>
      <w:r w:rsidRPr="00EB7500">
        <w:rPr>
          <w:rFonts w:eastAsia="Times New Roman"/>
          <w:b/>
          <w:bCs/>
          <w:sz w:val="29"/>
          <w:szCs w:val="29"/>
          <w:lang w:eastAsia="fr-FR"/>
        </w:rPr>
        <w:t>Débits à consommer sur place.</w:t>
      </w:r>
      <w:r w:rsidRPr="00EB7500">
        <w:rPr>
          <w:rFonts w:eastAsia="Times New Roman"/>
          <w:sz w:val="29"/>
          <w:szCs w:val="29"/>
          <w:lang w:eastAsia="fr-FR"/>
        </w:rPr>
        <w:t> Ces débits qui peuvent vendre les boissons à consommer sur place, à l’occasion des repas, ou à emporter, doivent être munis, selon la nature des boissons mises en vente (c. santé pub. </w:t>
      </w:r>
      <w:hyperlink r:id="rId19" w:tgtFrame="_blank" w:history="1">
        <w:r w:rsidRPr="00EB7500">
          <w:rPr>
            <w:rFonts w:eastAsia="Times New Roman"/>
            <w:color w:val="0000FF"/>
            <w:sz w:val="21"/>
            <w:szCs w:val="21"/>
            <w:u w:val="single"/>
            <w:lang w:eastAsia="fr-FR"/>
          </w:rPr>
          <w:t>art. L. 3331-1</w:t>
        </w:r>
      </w:hyperlink>
      <w:r w:rsidRPr="00EB7500">
        <w:rPr>
          <w:rFonts w:eastAsia="Times New Roman"/>
          <w:sz w:val="29"/>
          <w:szCs w:val="29"/>
          <w:lang w:eastAsia="fr-FR"/>
        </w:rPr>
        <w:t>) :</w:t>
      </w:r>
    </w:p>
    <w:p w:rsidR="00EB7500" w:rsidRPr="00EB7500" w:rsidRDefault="00EB7500" w:rsidP="00EB7500">
      <w:pPr>
        <w:spacing w:before="30" w:after="0" w:line="240" w:lineRule="auto"/>
        <w:ind w:left="1695"/>
        <w:rPr>
          <w:rFonts w:eastAsia="Times New Roman"/>
          <w:sz w:val="29"/>
          <w:szCs w:val="29"/>
          <w:lang w:eastAsia="fr-FR"/>
        </w:rPr>
      </w:pPr>
      <w:r w:rsidRPr="00EB7500">
        <w:rPr>
          <w:rFonts w:eastAsia="Times New Roman"/>
          <w:sz w:val="29"/>
          <w:szCs w:val="29"/>
          <w:lang w:eastAsia="fr-FR"/>
        </w:rPr>
        <w:t>-d’une licence de 3</w:t>
      </w:r>
      <w:r w:rsidRPr="00EB7500">
        <w:rPr>
          <w:rFonts w:eastAsia="Times New Roman"/>
          <w:sz w:val="29"/>
          <w:szCs w:val="29"/>
          <w:vertAlign w:val="superscript"/>
          <w:lang w:eastAsia="fr-FR"/>
        </w:rPr>
        <w:t>e</w:t>
      </w:r>
      <w:r w:rsidRPr="00EB7500">
        <w:rPr>
          <w:rFonts w:eastAsia="Times New Roman"/>
          <w:sz w:val="29"/>
          <w:szCs w:val="29"/>
          <w:lang w:eastAsia="fr-FR"/>
        </w:rPr>
        <w:t> catégorie, dite encore « licence restreinte » : boissons des groupes un et trois. L’adjonction d’une licence restaurant ou à emporter permet à ces débits de vendre des boissons des groupes IV et V à l’occasion des repas ou à emporter ;</w:t>
      </w:r>
    </w:p>
    <w:p w:rsidR="00EB7500" w:rsidRPr="00EB7500" w:rsidRDefault="00EB7500" w:rsidP="00EB7500">
      <w:pPr>
        <w:spacing w:before="30" w:after="0" w:line="240" w:lineRule="auto"/>
        <w:ind w:left="1695"/>
        <w:rPr>
          <w:rFonts w:eastAsia="Times New Roman"/>
          <w:sz w:val="29"/>
          <w:szCs w:val="29"/>
          <w:lang w:eastAsia="fr-FR"/>
        </w:rPr>
      </w:pPr>
      <w:r w:rsidRPr="00EB7500">
        <w:rPr>
          <w:rFonts w:eastAsia="Times New Roman"/>
          <w:sz w:val="29"/>
          <w:szCs w:val="29"/>
          <w:lang w:eastAsia="fr-FR"/>
        </w:rPr>
        <w:t>-d’une licence de 4</w:t>
      </w:r>
      <w:r w:rsidRPr="00EB7500">
        <w:rPr>
          <w:rFonts w:eastAsia="Times New Roman"/>
          <w:sz w:val="29"/>
          <w:szCs w:val="29"/>
          <w:vertAlign w:val="superscript"/>
          <w:lang w:eastAsia="fr-FR"/>
        </w:rPr>
        <w:t>e</w:t>
      </w:r>
      <w:r w:rsidRPr="00EB7500">
        <w:rPr>
          <w:rFonts w:eastAsia="Times New Roman"/>
          <w:sz w:val="29"/>
          <w:szCs w:val="29"/>
          <w:lang w:eastAsia="fr-FR"/>
        </w:rPr>
        <w:t> catégorie, dite encore « grande licence » ou « licence de plein exercice » : boissons des quatre groupes.</w:t>
      </w:r>
    </w:p>
    <w:p w:rsidR="00EB7500" w:rsidRPr="00EB7500" w:rsidRDefault="00EB7500" w:rsidP="00EB7500">
      <w:pPr>
        <w:spacing w:before="150" w:after="150" w:line="240" w:lineRule="auto"/>
        <w:ind w:left="1695"/>
        <w:rPr>
          <w:rFonts w:eastAsia="Times New Roman"/>
          <w:sz w:val="29"/>
          <w:szCs w:val="29"/>
          <w:lang w:eastAsia="fr-FR"/>
        </w:rPr>
      </w:pPr>
      <w:r w:rsidRPr="00EB7500">
        <w:rPr>
          <w:rFonts w:eastAsia="Times New Roman"/>
          <w:sz w:val="29"/>
          <w:szCs w:val="29"/>
          <w:lang w:eastAsia="fr-FR"/>
        </w:rPr>
        <w:t>La vente de boisson du groupe I ne nécessite aucune licence.</w:t>
      </w:r>
    </w:p>
    <w:p w:rsidR="00EB7500" w:rsidRPr="00EB7500" w:rsidRDefault="00EB7500" w:rsidP="00EB7500">
      <w:pPr>
        <w:numPr>
          <w:ilvl w:val="0"/>
          <w:numId w:val="3"/>
        </w:numPr>
        <w:spacing w:before="150" w:after="150" w:line="240" w:lineRule="auto"/>
        <w:ind w:left="1695"/>
        <w:rPr>
          <w:rFonts w:eastAsia="Times New Roman"/>
          <w:sz w:val="29"/>
          <w:szCs w:val="29"/>
          <w:lang w:eastAsia="fr-FR"/>
        </w:rPr>
      </w:pPr>
      <w:r w:rsidRPr="00EB7500">
        <w:rPr>
          <w:rFonts w:eastAsia="Times New Roman"/>
          <w:b/>
          <w:bCs/>
          <w:sz w:val="29"/>
          <w:szCs w:val="29"/>
          <w:lang w:eastAsia="fr-FR"/>
        </w:rPr>
        <w:t>Restaurants.</w:t>
      </w:r>
      <w:r w:rsidRPr="00EB7500">
        <w:rPr>
          <w:rFonts w:eastAsia="Times New Roman"/>
          <w:sz w:val="29"/>
          <w:szCs w:val="29"/>
          <w:lang w:eastAsia="fr-FR"/>
        </w:rPr>
        <w:t> Ils peuvent vendre des boissons, exclusivement à l’occasion des principaux repas et comme accessoires de la nourriture, et, en outre, à emporter, selon la distinction suivante (c. santé pub. </w:t>
      </w:r>
      <w:hyperlink r:id="rId20" w:tgtFrame="_blank" w:history="1">
        <w:r w:rsidRPr="00EB7500">
          <w:rPr>
            <w:rFonts w:eastAsia="Times New Roman"/>
            <w:color w:val="0000FF"/>
            <w:sz w:val="21"/>
            <w:szCs w:val="21"/>
            <w:u w:val="single"/>
            <w:lang w:eastAsia="fr-FR"/>
          </w:rPr>
          <w:t>art. L. 3331-2</w:t>
        </w:r>
      </w:hyperlink>
      <w:r w:rsidRPr="00EB7500">
        <w:rPr>
          <w:rFonts w:eastAsia="Times New Roman"/>
          <w:sz w:val="29"/>
          <w:szCs w:val="29"/>
          <w:lang w:eastAsia="fr-FR"/>
        </w:rPr>
        <w:t>) :</w:t>
      </w:r>
    </w:p>
    <w:p w:rsidR="00EB7500" w:rsidRPr="00EB7500" w:rsidRDefault="00EB7500" w:rsidP="00EB7500">
      <w:pPr>
        <w:spacing w:before="30" w:after="0" w:line="240" w:lineRule="auto"/>
        <w:ind w:left="1695"/>
        <w:rPr>
          <w:rFonts w:eastAsia="Times New Roman"/>
          <w:sz w:val="29"/>
          <w:szCs w:val="29"/>
          <w:lang w:eastAsia="fr-FR"/>
        </w:rPr>
      </w:pPr>
      <w:r w:rsidRPr="00EB7500">
        <w:rPr>
          <w:rFonts w:eastAsia="Times New Roman"/>
          <w:sz w:val="29"/>
          <w:szCs w:val="29"/>
          <w:lang w:eastAsia="fr-FR"/>
        </w:rPr>
        <w:t>-petite licence restaurant (crêperies notamment) : boissons du groupe III seulement ;</w:t>
      </w:r>
    </w:p>
    <w:p w:rsidR="00EB7500" w:rsidRPr="00EB7500" w:rsidRDefault="00EB7500" w:rsidP="00EB7500">
      <w:pPr>
        <w:spacing w:before="30" w:after="0" w:line="240" w:lineRule="auto"/>
        <w:ind w:left="1695"/>
        <w:rPr>
          <w:rFonts w:eastAsia="Times New Roman"/>
          <w:sz w:val="29"/>
          <w:szCs w:val="29"/>
          <w:lang w:eastAsia="fr-FR"/>
        </w:rPr>
      </w:pPr>
      <w:r w:rsidRPr="00EB7500">
        <w:rPr>
          <w:rFonts w:eastAsia="Times New Roman"/>
          <w:sz w:val="29"/>
          <w:szCs w:val="29"/>
          <w:lang w:eastAsia="fr-FR"/>
        </w:rPr>
        <w:t>-licence restaurant proprement dite : boissons des quatre groupes.</w:t>
      </w:r>
    </w:p>
    <w:p w:rsidR="00EB7500" w:rsidRPr="00EB7500" w:rsidRDefault="00EB7500" w:rsidP="00EB7500">
      <w:pPr>
        <w:numPr>
          <w:ilvl w:val="0"/>
          <w:numId w:val="3"/>
        </w:numPr>
        <w:spacing w:before="150" w:after="150" w:line="240" w:lineRule="auto"/>
        <w:ind w:left="1695"/>
        <w:rPr>
          <w:rFonts w:eastAsia="Times New Roman"/>
          <w:sz w:val="29"/>
          <w:szCs w:val="29"/>
          <w:lang w:eastAsia="fr-FR"/>
        </w:rPr>
      </w:pPr>
      <w:r w:rsidRPr="00EB7500">
        <w:rPr>
          <w:rFonts w:eastAsia="Times New Roman"/>
          <w:b/>
          <w:bCs/>
          <w:sz w:val="29"/>
          <w:szCs w:val="29"/>
          <w:lang w:eastAsia="fr-FR"/>
        </w:rPr>
        <w:t>Débits à emporter.</w:t>
      </w:r>
      <w:r w:rsidRPr="00EB7500">
        <w:rPr>
          <w:rFonts w:eastAsia="Times New Roman"/>
          <w:sz w:val="29"/>
          <w:szCs w:val="29"/>
          <w:lang w:eastAsia="fr-FR"/>
        </w:rPr>
        <w:t> Ils ne peuvent vendre que des boissons à emporter dans les limites ci-après (c. santé pub. </w:t>
      </w:r>
      <w:hyperlink r:id="rId21" w:tgtFrame="_blank" w:history="1">
        <w:r w:rsidRPr="00EB7500">
          <w:rPr>
            <w:rFonts w:eastAsia="Times New Roman"/>
            <w:color w:val="0000FF"/>
            <w:sz w:val="21"/>
            <w:szCs w:val="21"/>
            <w:u w:val="single"/>
            <w:lang w:eastAsia="fr-FR"/>
          </w:rPr>
          <w:t>art. L. 3331-3</w:t>
        </w:r>
      </w:hyperlink>
      <w:r w:rsidRPr="00EB7500">
        <w:rPr>
          <w:rFonts w:eastAsia="Times New Roman"/>
          <w:sz w:val="29"/>
          <w:szCs w:val="29"/>
          <w:lang w:eastAsia="fr-FR"/>
        </w:rPr>
        <w:t>) :</w:t>
      </w:r>
    </w:p>
    <w:p w:rsidR="00EB7500" w:rsidRPr="00EB7500" w:rsidRDefault="00EB7500" w:rsidP="00EB7500">
      <w:pPr>
        <w:spacing w:before="30" w:after="0" w:line="240" w:lineRule="auto"/>
        <w:ind w:left="1695"/>
        <w:rPr>
          <w:rFonts w:eastAsia="Times New Roman"/>
          <w:sz w:val="29"/>
          <w:szCs w:val="29"/>
          <w:lang w:eastAsia="fr-FR"/>
        </w:rPr>
      </w:pPr>
      <w:r w:rsidRPr="00EB7500">
        <w:rPr>
          <w:rFonts w:eastAsia="Times New Roman"/>
          <w:sz w:val="29"/>
          <w:szCs w:val="29"/>
          <w:lang w:eastAsia="fr-FR"/>
        </w:rPr>
        <w:t>-petite licence à emporter : boissons du groupe III ;</w:t>
      </w:r>
    </w:p>
    <w:p w:rsidR="00EB7500" w:rsidRPr="00EB7500" w:rsidRDefault="00EB7500" w:rsidP="00EB7500">
      <w:pPr>
        <w:spacing w:before="30" w:line="240" w:lineRule="auto"/>
        <w:ind w:left="1695"/>
        <w:rPr>
          <w:rFonts w:eastAsia="Times New Roman"/>
          <w:sz w:val="29"/>
          <w:szCs w:val="29"/>
          <w:lang w:eastAsia="fr-FR"/>
        </w:rPr>
      </w:pPr>
      <w:r w:rsidRPr="00EB7500">
        <w:rPr>
          <w:rFonts w:eastAsia="Times New Roman"/>
          <w:sz w:val="29"/>
          <w:szCs w:val="29"/>
          <w:lang w:eastAsia="fr-FR"/>
        </w:rPr>
        <w:t>-licence à emporter proprement dite : boissons des quatre groupes.</w:t>
      </w:r>
    </w:p>
    <w:p w:rsidR="00EB7500" w:rsidRPr="00EB7500" w:rsidRDefault="00EB7500" w:rsidP="00EB7500">
      <w:pPr>
        <w:pBdr>
          <w:bottom w:val="single" w:sz="6" w:space="8" w:color="E5E5E5"/>
        </w:pBdr>
        <w:spacing w:before="100" w:beforeAutospacing="1" w:after="100" w:afterAutospacing="1" w:line="240" w:lineRule="auto"/>
        <w:outlineLvl w:val="2"/>
        <w:rPr>
          <w:rFonts w:eastAsia="Times New Roman"/>
          <w:b/>
          <w:bCs/>
          <w:sz w:val="27"/>
          <w:szCs w:val="27"/>
          <w:lang w:eastAsia="fr-FR"/>
        </w:rPr>
      </w:pPr>
      <w:bookmarkStart w:id="18" w:name="s21"/>
      <w:bookmarkEnd w:id="18"/>
      <w:r w:rsidRPr="00EB7500">
        <w:rPr>
          <w:rFonts w:eastAsia="Times New Roman"/>
          <w:b/>
          <w:bCs/>
          <w:sz w:val="27"/>
          <w:szCs w:val="27"/>
          <w:lang w:eastAsia="fr-FR"/>
        </w:rPr>
        <w:lastRenderedPageBreak/>
        <w:t>Sanctions</w:t>
      </w:r>
    </w:p>
    <w:p w:rsidR="00EB7500" w:rsidRPr="00EB7500" w:rsidRDefault="00EB7500" w:rsidP="00EB7500">
      <w:pPr>
        <w:spacing w:after="0" w:line="240" w:lineRule="auto"/>
        <w:rPr>
          <w:rFonts w:eastAsia="Times New Roman"/>
          <w:lang w:eastAsia="fr-FR"/>
        </w:rPr>
      </w:pPr>
      <w:bookmarkStart w:id="19" w:name="5548"/>
      <w:bookmarkEnd w:id="19"/>
      <w:r w:rsidRPr="00EB7500">
        <w:rPr>
          <w:rFonts w:eastAsia="Times New Roman"/>
          <w:sz w:val="22"/>
          <w:szCs w:val="22"/>
          <w:lang w:eastAsia="fr-FR"/>
        </w:rPr>
        <w:t>5548</w:t>
      </w:r>
    </w:p>
    <w:p w:rsidR="00EB7500" w:rsidRPr="00EB7500" w:rsidRDefault="00EB7500" w:rsidP="00EB7500">
      <w:pPr>
        <w:spacing w:line="240" w:lineRule="auto"/>
        <w:rPr>
          <w:rFonts w:eastAsia="Times New Roman"/>
          <w:sz w:val="29"/>
          <w:szCs w:val="29"/>
          <w:lang w:eastAsia="fr-FR"/>
        </w:rPr>
      </w:pPr>
      <w:r w:rsidRPr="00EB7500">
        <w:rPr>
          <w:rFonts w:eastAsia="Times New Roman"/>
          <w:sz w:val="29"/>
          <w:szCs w:val="29"/>
          <w:lang w:eastAsia="fr-FR"/>
        </w:rPr>
        <w:t>L'ouverture d'un débit de boissons à consommer sur place de 3</w:t>
      </w:r>
      <w:r w:rsidRPr="00EB7500">
        <w:rPr>
          <w:rFonts w:eastAsia="Times New Roman"/>
          <w:sz w:val="29"/>
          <w:szCs w:val="29"/>
          <w:vertAlign w:val="superscript"/>
          <w:lang w:eastAsia="fr-FR"/>
        </w:rPr>
        <w:t>e</w:t>
      </w:r>
      <w:r w:rsidRPr="00EB7500">
        <w:rPr>
          <w:rFonts w:eastAsia="Times New Roman"/>
          <w:sz w:val="29"/>
          <w:szCs w:val="29"/>
          <w:lang w:eastAsia="fr-FR"/>
        </w:rPr>
        <w:t> ou de 4</w:t>
      </w:r>
      <w:r w:rsidRPr="00EB7500">
        <w:rPr>
          <w:rFonts w:eastAsia="Times New Roman"/>
          <w:sz w:val="29"/>
          <w:szCs w:val="29"/>
          <w:vertAlign w:val="superscript"/>
          <w:lang w:eastAsia="fr-FR"/>
        </w:rPr>
        <w:t>e</w:t>
      </w:r>
      <w:r w:rsidRPr="00EB7500">
        <w:rPr>
          <w:rFonts w:eastAsia="Times New Roman"/>
          <w:sz w:val="29"/>
          <w:szCs w:val="29"/>
          <w:lang w:eastAsia="fr-FR"/>
        </w:rPr>
        <w:t> catégorie, qui ne respecte pas la réglementation, peut conduire à une amende de 3 750 € si les poursuites sont engagées contre une personne physique et jusqu'à 18 750 € si les poursuites sont dirigées à l'encontre de l'association. La fermeture du débit est prononcée par le jugement (c. santé pub. </w:t>
      </w:r>
      <w:hyperlink r:id="rId22" w:tgtFrame="_blank" w:history="1">
        <w:r w:rsidRPr="00EB7500">
          <w:rPr>
            <w:rFonts w:eastAsia="Times New Roman"/>
            <w:color w:val="0000FF"/>
            <w:sz w:val="21"/>
            <w:szCs w:val="21"/>
            <w:u w:val="single"/>
            <w:lang w:eastAsia="fr-FR"/>
          </w:rPr>
          <w:t>art. L. 3352-2</w:t>
        </w:r>
      </w:hyperlink>
      <w:r w:rsidRPr="00EB7500">
        <w:rPr>
          <w:rFonts w:eastAsia="Times New Roman"/>
          <w:sz w:val="29"/>
          <w:szCs w:val="29"/>
          <w:lang w:eastAsia="fr-FR"/>
        </w:rPr>
        <w:t>).</w:t>
      </w:r>
    </w:p>
    <w:p w:rsidR="00EB7500" w:rsidRPr="00EB7500" w:rsidRDefault="00EB7500" w:rsidP="00EB7500">
      <w:pPr>
        <w:spacing w:before="100" w:beforeAutospacing="1" w:after="100" w:afterAutospacing="1" w:line="240" w:lineRule="auto"/>
        <w:outlineLvl w:val="1"/>
        <w:rPr>
          <w:rFonts w:eastAsia="Times New Roman"/>
          <w:b/>
          <w:bCs/>
          <w:sz w:val="36"/>
          <w:szCs w:val="36"/>
          <w:lang w:eastAsia="fr-FR"/>
        </w:rPr>
      </w:pPr>
      <w:bookmarkStart w:id="20" w:name="s11"/>
      <w:bookmarkEnd w:id="20"/>
      <w:r w:rsidRPr="00EB7500">
        <w:rPr>
          <w:rFonts w:eastAsia="Times New Roman"/>
          <w:b/>
          <w:bCs/>
          <w:sz w:val="36"/>
          <w:szCs w:val="36"/>
          <w:lang w:eastAsia="fr-FR"/>
        </w:rPr>
        <w:t>Buvettes temporaires</w:t>
      </w:r>
    </w:p>
    <w:p w:rsidR="00EB7500" w:rsidRPr="00EB7500" w:rsidRDefault="00EB7500" w:rsidP="00EB7500">
      <w:pPr>
        <w:pBdr>
          <w:bottom w:val="single" w:sz="6" w:space="8" w:color="E5E5E5"/>
        </w:pBdr>
        <w:spacing w:before="100" w:beforeAutospacing="1" w:after="100" w:afterAutospacing="1" w:line="240" w:lineRule="auto"/>
        <w:outlineLvl w:val="2"/>
        <w:rPr>
          <w:rFonts w:eastAsia="Times New Roman"/>
          <w:b/>
          <w:bCs/>
          <w:sz w:val="27"/>
          <w:szCs w:val="27"/>
          <w:lang w:eastAsia="fr-FR"/>
        </w:rPr>
      </w:pPr>
      <w:bookmarkStart w:id="21" w:name="s12"/>
      <w:bookmarkEnd w:id="21"/>
      <w:r w:rsidRPr="00EB7500">
        <w:rPr>
          <w:rFonts w:eastAsia="Times New Roman"/>
          <w:b/>
          <w:bCs/>
          <w:sz w:val="27"/>
          <w:szCs w:val="27"/>
          <w:lang w:eastAsia="fr-FR"/>
        </w:rPr>
        <w:t>Buvettes temporaires à l’occasion de manifestations publiques</w:t>
      </w:r>
    </w:p>
    <w:p w:rsidR="00EB7500" w:rsidRPr="00EB7500" w:rsidRDefault="00EB7500" w:rsidP="00EB7500">
      <w:pPr>
        <w:spacing w:before="100" w:beforeAutospacing="1" w:after="100" w:afterAutospacing="1" w:line="240" w:lineRule="auto"/>
        <w:outlineLvl w:val="3"/>
        <w:rPr>
          <w:rFonts w:eastAsia="Times New Roman"/>
          <w:lang w:eastAsia="fr-FR"/>
        </w:rPr>
      </w:pPr>
      <w:bookmarkStart w:id="22" w:name="s13"/>
      <w:bookmarkEnd w:id="22"/>
      <w:r w:rsidRPr="00EB7500">
        <w:rPr>
          <w:rFonts w:eastAsia="Times New Roman"/>
          <w:lang w:eastAsia="fr-FR"/>
        </w:rPr>
        <w:t>Autorisation municipale</w:t>
      </w:r>
    </w:p>
    <w:p w:rsidR="00EB7500" w:rsidRPr="00EB7500" w:rsidRDefault="00EB7500" w:rsidP="00EB7500">
      <w:pPr>
        <w:spacing w:after="0" w:line="240" w:lineRule="auto"/>
        <w:rPr>
          <w:rFonts w:eastAsia="Times New Roman"/>
          <w:lang w:eastAsia="fr-FR"/>
        </w:rPr>
      </w:pPr>
      <w:bookmarkStart w:id="23" w:name="5549"/>
      <w:bookmarkEnd w:id="23"/>
      <w:r w:rsidRPr="00EB7500">
        <w:rPr>
          <w:rFonts w:eastAsia="Times New Roman"/>
          <w:sz w:val="22"/>
          <w:szCs w:val="22"/>
          <w:lang w:eastAsia="fr-FR"/>
        </w:rPr>
        <w:t>5549</w:t>
      </w:r>
    </w:p>
    <w:p w:rsidR="00EB7500" w:rsidRPr="00EB7500" w:rsidRDefault="00EB7500" w:rsidP="00EB7500">
      <w:pPr>
        <w:spacing w:after="0" w:line="240" w:lineRule="auto"/>
        <w:rPr>
          <w:rFonts w:eastAsia="Times New Roman"/>
          <w:sz w:val="29"/>
          <w:szCs w:val="29"/>
          <w:lang w:eastAsia="fr-FR"/>
        </w:rPr>
      </w:pPr>
      <w:r w:rsidRPr="00EB7500">
        <w:rPr>
          <w:rFonts w:eastAsia="Times New Roman"/>
          <w:sz w:val="29"/>
          <w:szCs w:val="29"/>
          <w:lang w:eastAsia="fr-FR"/>
        </w:rPr>
        <w:t>Les associations qui établissent des cafés ou débits de boissons pour la durée des manifestations publiques qu’elles organisent, en dehors d’enceintes sportives, ne sont pas tenues à la déclaration administrative prescrite par l’article L. 3332-3 du code de la santé publique (voir § </w:t>
      </w:r>
      <w:hyperlink r:id="rId23" w:anchor="5544" w:history="1">
        <w:r w:rsidRPr="00EB7500">
          <w:rPr>
            <w:rFonts w:eastAsia="Times New Roman"/>
            <w:color w:val="0000FF"/>
            <w:sz w:val="29"/>
            <w:szCs w:val="29"/>
            <w:u w:val="single"/>
            <w:lang w:eastAsia="fr-FR"/>
          </w:rPr>
          <w:t>5544</w:t>
        </w:r>
      </w:hyperlink>
      <w:r w:rsidRPr="00EB7500">
        <w:rPr>
          <w:rFonts w:eastAsia="Times New Roman"/>
          <w:sz w:val="29"/>
          <w:szCs w:val="29"/>
          <w:lang w:eastAsia="fr-FR"/>
        </w:rPr>
        <w:t>), mais elles doivent obtenir l’autorisation de l’autorité municipale dans la limite de cinq autorisations annuelles pour chaque association. Dans ces débits et cafés ouverts dans de telles conditions, il ne peut être vendu ou offert, sous quelque forme que ce soit, que des boissons des groupes 1 et 3 (c. santé pub. </w:t>
      </w:r>
      <w:hyperlink r:id="rId24" w:tgtFrame="_blank" w:history="1">
        <w:r w:rsidRPr="00EB7500">
          <w:rPr>
            <w:rFonts w:eastAsia="Times New Roman"/>
            <w:color w:val="0000FF"/>
            <w:sz w:val="21"/>
            <w:szCs w:val="21"/>
            <w:u w:val="single"/>
            <w:lang w:eastAsia="fr-FR"/>
          </w:rPr>
          <w:t>art. L. 3334-2</w:t>
        </w:r>
      </w:hyperlink>
      <w:r w:rsidRPr="00EB7500">
        <w:rPr>
          <w:rFonts w:eastAsia="Times New Roman"/>
          <w:sz w:val="29"/>
          <w:szCs w:val="29"/>
          <w:lang w:eastAsia="fr-FR"/>
        </w:rPr>
        <w:t> al. 1 à 3) (voir § </w:t>
      </w:r>
      <w:hyperlink r:id="rId25" w:anchor="5546" w:history="1">
        <w:r w:rsidRPr="00EB7500">
          <w:rPr>
            <w:rFonts w:eastAsia="Times New Roman"/>
            <w:color w:val="0000FF"/>
            <w:sz w:val="29"/>
            <w:szCs w:val="29"/>
            <w:u w:val="single"/>
            <w:lang w:eastAsia="fr-FR"/>
          </w:rPr>
          <w:t>5546</w:t>
        </w:r>
      </w:hyperlink>
      <w:r w:rsidRPr="00EB7500">
        <w:rPr>
          <w:rFonts w:eastAsia="Times New Roman"/>
          <w:sz w:val="29"/>
          <w:szCs w:val="29"/>
          <w:lang w:eastAsia="fr-FR"/>
        </w:rPr>
        <w:t>).</w:t>
      </w:r>
    </w:p>
    <w:p w:rsidR="00EB7500" w:rsidRPr="00EB7500" w:rsidRDefault="00EB7500" w:rsidP="00EB7500">
      <w:pPr>
        <w:numPr>
          <w:ilvl w:val="0"/>
          <w:numId w:val="4"/>
        </w:numPr>
        <w:spacing w:after="150" w:line="240" w:lineRule="auto"/>
        <w:ind w:left="1695"/>
        <w:rPr>
          <w:rFonts w:eastAsia="Times New Roman"/>
          <w:sz w:val="29"/>
          <w:szCs w:val="29"/>
          <w:lang w:eastAsia="fr-FR"/>
        </w:rPr>
      </w:pPr>
      <w:r w:rsidRPr="00EB7500">
        <w:rPr>
          <w:rFonts w:eastAsia="Times New Roman"/>
          <w:b/>
          <w:bCs/>
          <w:sz w:val="29"/>
          <w:szCs w:val="29"/>
          <w:lang w:eastAsia="fr-FR"/>
        </w:rPr>
        <w:t>Guadeloupe, Guyane, Martinique.</w:t>
      </w:r>
      <w:r w:rsidRPr="00EB7500">
        <w:rPr>
          <w:rFonts w:eastAsia="Times New Roman"/>
          <w:sz w:val="29"/>
          <w:szCs w:val="29"/>
          <w:lang w:eastAsia="fr-FR"/>
        </w:rPr>
        <w:t> Dans ces départements, le préfet peut autoriser, par voie d’arrêté, la vente des boissons de quatrième groupe, dont la consommation y est traditionnelle, dans la limite de quatre jours par an (c. santé pub. </w:t>
      </w:r>
      <w:hyperlink r:id="rId26" w:tgtFrame="_blank" w:history="1">
        <w:r w:rsidRPr="00EB7500">
          <w:rPr>
            <w:rFonts w:eastAsia="Times New Roman"/>
            <w:color w:val="0000FF"/>
            <w:sz w:val="21"/>
            <w:szCs w:val="21"/>
            <w:u w:val="single"/>
            <w:lang w:eastAsia="fr-FR"/>
          </w:rPr>
          <w:t>art. L. 3334-2</w:t>
        </w:r>
      </w:hyperlink>
      <w:r w:rsidRPr="00EB7500">
        <w:rPr>
          <w:rFonts w:eastAsia="Times New Roman"/>
          <w:sz w:val="29"/>
          <w:szCs w:val="29"/>
          <w:lang w:eastAsia="fr-FR"/>
        </w:rPr>
        <w:t>, dern. al.).</w:t>
      </w:r>
    </w:p>
    <w:p w:rsidR="00EB7500" w:rsidRPr="00EB7500" w:rsidRDefault="00EB7500" w:rsidP="00EB7500">
      <w:pPr>
        <w:numPr>
          <w:ilvl w:val="0"/>
          <w:numId w:val="4"/>
        </w:numPr>
        <w:spacing w:before="150" w:line="240" w:lineRule="auto"/>
        <w:ind w:left="1695"/>
        <w:rPr>
          <w:rFonts w:eastAsia="Times New Roman"/>
          <w:sz w:val="29"/>
          <w:szCs w:val="29"/>
          <w:lang w:eastAsia="fr-FR"/>
        </w:rPr>
      </w:pPr>
      <w:r w:rsidRPr="00EB7500">
        <w:rPr>
          <w:rFonts w:eastAsia="Times New Roman"/>
          <w:b/>
          <w:bCs/>
          <w:sz w:val="29"/>
          <w:szCs w:val="29"/>
          <w:lang w:eastAsia="fr-FR"/>
        </w:rPr>
        <w:t>TVA.</w:t>
      </w:r>
      <w:r w:rsidRPr="00EB7500">
        <w:rPr>
          <w:rFonts w:eastAsia="Times New Roman"/>
          <w:sz w:val="29"/>
          <w:szCs w:val="29"/>
          <w:lang w:eastAsia="fr-FR"/>
        </w:rPr>
        <w:t> Les recettes provenant de l’exploitation de bars et buvettes, réalisées au cours des six manifestations de bienfaisance ou de soutien exonérées, ne sont pas assujetties à la TVA (voir § </w:t>
      </w:r>
      <w:hyperlink r:id="rId27" w:anchor="1395" w:history="1">
        <w:r w:rsidRPr="00EB7500">
          <w:rPr>
            <w:rFonts w:eastAsia="Times New Roman"/>
            <w:color w:val="0000FF"/>
            <w:sz w:val="29"/>
            <w:szCs w:val="29"/>
            <w:u w:val="single"/>
            <w:lang w:eastAsia="fr-FR"/>
          </w:rPr>
          <w:t>1395</w:t>
        </w:r>
      </w:hyperlink>
      <w:r w:rsidRPr="00EB7500">
        <w:rPr>
          <w:rFonts w:eastAsia="Times New Roman"/>
          <w:sz w:val="29"/>
          <w:szCs w:val="29"/>
          <w:lang w:eastAsia="fr-FR"/>
        </w:rPr>
        <w:t>).</w:t>
      </w:r>
    </w:p>
    <w:p w:rsidR="00EB7500" w:rsidRPr="00EB7500" w:rsidRDefault="00EB7500" w:rsidP="00EB7500">
      <w:pPr>
        <w:spacing w:before="100" w:beforeAutospacing="1" w:after="100" w:afterAutospacing="1" w:line="240" w:lineRule="auto"/>
        <w:outlineLvl w:val="3"/>
        <w:rPr>
          <w:rFonts w:eastAsia="Times New Roman"/>
          <w:lang w:eastAsia="fr-FR"/>
        </w:rPr>
      </w:pPr>
      <w:bookmarkStart w:id="24" w:name="s15"/>
      <w:bookmarkEnd w:id="24"/>
      <w:r w:rsidRPr="00EB7500">
        <w:rPr>
          <w:rFonts w:eastAsia="Times New Roman"/>
          <w:lang w:eastAsia="fr-FR"/>
        </w:rPr>
        <w:t>Sanctions</w:t>
      </w:r>
    </w:p>
    <w:p w:rsidR="00EB7500" w:rsidRPr="00EB7500" w:rsidRDefault="00EB7500" w:rsidP="00EB7500">
      <w:pPr>
        <w:spacing w:after="0" w:line="240" w:lineRule="auto"/>
        <w:rPr>
          <w:rFonts w:eastAsia="Times New Roman"/>
          <w:lang w:eastAsia="fr-FR"/>
        </w:rPr>
      </w:pPr>
      <w:bookmarkStart w:id="25" w:name="5550"/>
      <w:bookmarkEnd w:id="25"/>
      <w:r w:rsidRPr="00EB7500">
        <w:rPr>
          <w:rFonts w:eastAsia="Times New Roman"/>
          <w:sz w:val="22"/>
          <w:szCs w:val="22"/>
          <w:lang w:eastAsia="fr-FR"/>
        </w:rPr>
        <w:t>5550</w:t>
      </w:r>
    </w:p>
    <w:p w:rsidR="00EB7500" w:rsidRPr="00EB7500" w:rsidRDefault="00EB7500" w:rsidP="00EB7500">
      <w:pPr>
        <w:spacing w:after="0" w:line="240" w:lineRule="auto"/>
        <w:rPr>
          <w:rFonts w:eastAsia="Times New Roman"/>
          <w:sz w:val="29"/>
          <w:szCs w:val="29"/>
          <w:lang w:eastAsia="fr-FR"/>
        </w:rPr>
      </w:pPr>
      <w:r w:rsidRPr="00EB7500">
        <w:rPr>
          <w:rFonts w:eastAsia="Times New Roman"/>
          <w:sz w:val="29"/>
          <w:szCs w:val="29"/>
          <w:lang w:eastAsia="fr-FR"/>
        </w:rPr>
        <w:t>Le défaut d’autorisation du maire est puni de l’amende prévue pour les contraventions de 4</w:t>
      </w:r>
      <w:r w:rsidRPr="00EB7500">
        <w:rPr>
          <w:rFonts w:eastAsia="Times New Roman"/>
          <w:sz w:val="29"/>
          <w:szCs w:val="29"/>
          <w:vertAlign w:val="superscript"/>
          <w:lang w:eastAsia="fr-FR"/>
        </w:rPr>
        <w:t>e</w:t>
      </w:r>
      <w:r w:rsidRPr="00EB7500">
        <w:rPr>
          <w:rFonts w:eastAsia="Times New Roman"/>
          <w:sz w:val="29"/>
          <w:szCs w:val="29"/>
          <w:lang w:eastAsia="fr-FR"/>
        </w:rPr>
        <w:t> classe (c. santé pub. </w:t>
      </w:r>
      <w:hyperlink r:id="rId28" w:tgtFrame="_blank" w:history="1">
        <w:r w:rsidRPr="00EB7500">
          <w:rPr>
            <w:rFonts w:eastAsia="Times New Roman"/>
            <w:color w:val="0000FF"/>
            <w:sz w:val="21"/>
            <w:szCs w:val="21"/>
            <w:u w:val="single"/>
            <w:lang w:eastAsia="fr-FR"/>
          </w:rPr>
          <w:t>art. R. 3352-1</w:t>
        </w:r>
      </w:hyperlink>
      <w:r w:rsidRPr="00EB7500">
        <w:rPr>
          <w:rFonts w:eastAsia="Times New Roman"/>
          <w:sz w:val="29"/>
          <w:szCs w:val="29"/>
          <w:lang w:eastAsia="fr-FR"/>
        </w:rPr>
        <w:t>) : jusqu’à 750 € lorsque les poursuites sont dirigées contre une personne physique, jusqu’à 3 750 € lorsque la contravention est reprochée à l’association.</w:t>
      </w:r>
    </w:p>
    <w:p w:rsidR="00EB7500" w:rsidRPr="00EB7500" w:rsidRDefault="00EB7500" w:rsidP="00EB7500">
      <w:pPr>
        <w:spacing w:line="240" w:lineRule="auto"/>
        <w:rPr>
          <w:rFonts w:eastAsia="Times New Roman"/>
          <w:sz w:val="29"/>
          <w:szCs w:val="29"/>
          <w:lang w:eastAsia="fr-FR"/>
        </w:rPr>
      </w:pPr>
      <w:r w:rsidRPr="00EB7500">
        <w:rPr>
          <w:rFonts w:eastAsia="Times New Roman"/>
          <w:sz w:val="29"/>
          <w:szCs w:val="29"/>
          <w:lang w:eastAsia="fr-FR"/>
        </w:rPr>
        <w:t xml:space="preserve">Par ailleurs, l'offre ou la vente, sous quelque forme que ce soit, dans les débits et cafés ouverts à l'occasion d'une foire, d'une vente ou d'une fête publique et </w:t>
      </w:r>
      <w:r w:rsidRPr="00EB7500">
        <w:rPr>
          <w:rFonts w:eastAsia="Times New Roman"/>
          <w:sz w:val="29"/>
          <w:szCs w:val="29"/>
          <w:lang w:eastAsia="fr-FR"/>
        </w:rPr>
        <w:lastRenderedPageBreak/>
        <w:t>autorisée par l'autorité municipale, de boissons autres que celles des groupes 1 et 3 (voir § </w:t>
      </w:r>
      <w:hyperlink r:id="rId29" w:anchor="5546" w:history="1">
        <w:r w:rsidRPr="00EB7500">
          <w:rPr>
            <w:rFonts w:eastAsia="Times New Roman"/>
            <w:color w:val="0000FF"/>
            <w:sz w:val="29"/>
            <w:szCs w:val="29"/>
            <w:u w:val="single"/>
            <w:lang w:eastAsia="fr-FR"/>
          </w:rPr>
          <w:t>5546</w:t>
        </w:r>
      </w:hyperlink>
      <w:r w:rsidRPr="00EB7500">
        <w:rPr>
          <w:rFonts w:eastAsia="Times New Roman"/>
          <w:sz w:val="29"/>
          <w:szCs w:val="29"/>
          <w:lang w:eastAsia="fr-FR"/>
        </w:rPr>
        <w:t>), peut conduire à une amende de 3750 € s'agissant d'une personne physique et jusqu'à 18 750 € si les poursuites sont dirigées contre l'association (c. santé pub. </w:t>
      </w:r>
      <w:hyperlink r:id="rId30" w:tgtFrame="_blank" w:history="1">
        <w:r w:rsidRPr="00EB7500">
          <w:rPr>
            <w:rFonts w:eastAsia="Times New Roman"/>
            <w:color w:val="0000FF"/>
            <w:sz w:val="21"/>
            <w:szCs w:val="21"/>
            <w:u w:val="single"/>
            <w:lang w:eastAsia="fr-FR"/>
          </w:rPr>
          <w:t>art. L. 3352-5</w:t>
        </w:r>
      </w:hyperlink>
      <w:r w:rsidRPr="00EB7500">
        <w:rPr>
          <w:rFonts w:eastAsia="Times New Roman"/>
          <w:sz w:val="29"/>
          <w:szCs w:val="29"/>
          <w:lang w:eastAsia="fr-FR"/>
        </w:rPr>
        <w:t>).</w:t>
      </w:r>
    </w:p>
    <w:p w:rsidR="00EB7500" w:rsidRPr="00EB7500" w:rsidRDefault="00EB7500" w:rsidP="00EB7500">
      <w:pPr>
        <w:pBdr>
          <w:bottom w:val="single" w:sz="6" w:space="8" w:color="E5E5E5"/>
        </w:pBdr>
        <w:spacing w:before="100" w:beforeAutospacing="1" w:after="100" w:afterAutospacing="1" w:line="240" w:lineRule="auto"/>
        <w:outlineLvl w:val="2"/>
        <w:rPr>
          <w:rFonts w:eastAsia="Times New Roman"/>
          <w:b/>
          <w:bCs/>
          <w:sz w:val="27"/>
          <w:szCs w:val="27"/>
          <w:lang w:eastAsia="fr-FR"/>
        </w:rPr>
      </w:pPr>
      <w:bookmarkStart w:id="26" w:name="s16"/>
      <w:bookmarkEnd w:id="26"/>
      <w:r w:rsidRPr="00EB7500">
        <w:rPr>
          <w:rFonts w:eastAsia="Times New Roman"/>
          <w:b/>
          <w:bCs/>
          <w:sz w:val="27"/>
          <w:szCs w:val="27"/>
          <w:lang w:eastAsia="fr-FR"/>
        </w:rPr>
        <w:t>Expositions organisées par certaines associations</w:t>
      </w:r>
    </w:p>
    <w:p w:rsidR="00EB7500" w:rsidRPr="00EB7500" w:rsidRDefault="00EB7500" w:rsidP="00EB7500">
      <w:pPr>
        <w:spacing w:after="0" w:line="240" w:lineRule="auto"/>
        <w:rPr>
          <w:rFonts w:eastAsia="Times New Roman"/>
          <w:lang w:eastAsia="fr-FR"/>
        </w:rPr>
      </w:pPr>
      <w:bookmarkStart w:id="27" w:name="5551"/>
      <w:bookmarkEnd w:id="27"/>
      <w:r w:rsidRPr="00EB7500">
        <w:rPr>
          <w:rFonts w:eastAsia="Times New Roman"/>
          <w:sz w:val="22"/>
          <w:szCs w:val="22"/>
          <w:lang w:eastAsia="fr-FR"/>
        </w:rPr>
        <w:t>5551</w:t>
      </w:r>
    </w:p>
    <w:p w:rsidR="00EB7500" w:rsidRPr="00EB7500" w:rsidRDefault="00EB7500" w:rsidP="00EB7500">
      <w:pPr>
        <w:spacing w:after="0" w:line="240" w:lineRule="auto"/>
        <w:rPr>
          <w:rFonts w:eastAsia="Times New Roman"/>
          <w:sz w:val="29"/>
          <w:szCs w:val="29"/>
          <w:lang w:eastAsia="fr-FR"/>
        </w:rPr>
      </w:pPr>
      <w:r w:rsidRPr="00EB7500">
        <w:rPr>
          <w:rFonts w:eastAsia="Times New Roman"/>
          <w:sz w:val="29"/>
          <w:szCs w:val="29"/>
          <w:lang w:eastAsia="fr-FR"/>
        </w:rPr>
        <w:t>L’ouverture, par des personnes ou sociétés de nationalité française ou étrangère, de débits de boissons de toute nature à consommer sur place est autorisée dans l’enceinte des expositions ou des foires organisées, notamment, par les associations reconnues comme établissements d’utilité publique, pendant la durée des manifestations (c. santé pub. </w:t>
      </w:r>
      <w:hyperlink r:id="rId31" w:tgtFrame="_blank" w:history="1">
        <w:r w:rsidRPr="00EB7500">
          <w:rPr>
            <w:rFonts w:eastAsia="Times New Roman"/>
            <w:color w:val="0000FF"/>
            <w:sz w:val="21"/>
            <w:szCs w:val="21"/>
            <w:u w:val="single"/>
            <w:lang w:eastAsia="fr-FR"/>
          </w:rPr>
          <w:t>art. L. 3334-1</w:t>
        </w:r>
      </w:hyperlink>
      <w:r w:rsidRPr="00EB7500">
        <w:rPr>
          <w:rFonts w:eastAsia="Times New Roman"/>
          <w:sz w:val="29"/>
          <w:szCs w:val="29"/>
          <w:lang w:eastAsia="fr-FR"/>
        </w:rPr>
        <w:t>, al. 1).</w:t>
      </w:r>
    </w:p>
    <w:p w:rsidR="00EB7500" w:rsidRPr="00EB7500" w:rsidRDefault="00EB7500" w:rsidP="00EB7500">
      <w:pPr>
        <w:spacing w:line="240" w:lineRule="auto"/>
        <w:rPr>
          <w:rFonts w:eastAsia="Times New Roman"/>
          <w:color w:val="999999"/>
          <w:sz w:val="20"/>
          <w:szCs w:val="20"/>
          <w:lang w:eastAsia="fr-FR"/>
        </w:rPr>
      </w:pPr>
      <w:r w:rsidRPr="00EB7500">
        <w:rPr>
          <w:rFonts w:eastAsia="Times New Roman"/>
          <w:b/>
          <w:bCs/>
          <w:color w:val="999999"/>
          <w:sz w:val="20"/>
          <w:szCs w:val="20"/>
          <w:lang w:eastAsia="fr-FR"/>
        </w:rPr>
        <w:t>Avis du commissaire général.</w:t>
      </w:r>
      <w:r w:rsidRPr="00EB7500">
        <w:rPr>
          <w:rFonts w:eastAsia="Times New Roman"/>
          <w:color w:val="999999"/>
          <w:sz w:val="20"/>
          <w:szCs w:val="20"/>
          <w:lang w:eastAsia="fr-FR"/>
        </w:rPr>
        <w:t> Chaque ouverture est subordonnée à l’avis du commissaire général de l’exposition ou de la foire, ou de toute personne ayant la même qualité. L’avis est annexé à la déclaration souscrite à la mairie ou la préfecture de police de Paris, et à la recette buraliste des contributions indirectes (c. santé pub. </w:t>
      </w:r>
      <w:hyperlink r:id="rId32" w:tgtFrame="_blank" w:history="1">
        <w:r w:rsidRPr="00EB7500">
          <w:rPr>
            <w:rFonts w:eastAsia="Times New Roman"/>
            <w:color w:val="0000FF"/>
            <w:sz w:val="21"/>
            <w:szCs w:val="21"/>
            <w:u w:val="single"/>
            <w:lang w:eastAsia="fr-FR"/>
          </w:rPr>
          <w:t>art. L. 3334-1</w:t>
        </w:r>
      </w:hyperlink>
      <w:r w:rsidRPr="00EB7500">
        <w:rPr>
          <w:rFonts w:eastAsia="Times New Roman"/>
          <w:color w:val="999999"/>
          <w:sz w:val="20"/>
          <w:szCs w:val="20"/>
          <w:lang w:eastAsia="fr-FR"/>
        </w:rPr>
        <w:t>, al. 2).</w:t>
      </w:r>
    </w:p>
    <w:p w:rsidR="00EB7500" w:rsidRPr="00EB7500" w:rsidRDefault="00EB7500" w:rsidP="00EB7500">
      <w:pPr>
        <w:pBdr>
          <w:bottom w:val="single" w:sz="6" w:space="8" w:color="E5E5E5"/>
        </w:pBdr>
        <w:spacing w:before="100" w:beforeAutospacing="1" w:after="100" w:afterAutospacing="1" w:line="240" w:lineRule="auto"/>
        <w:outlineLvl w:val="2"/>
        <w:rPr>
          <w:rFonts w:eastAsia="Times New Roman"/>
          <w:b/>
          <w:bCs/>
          <w:sz w:val="27"/>
          <w:szCs w:val="27"/>
          <w:lang w:eastAsia="fr-FR"/>
        </w:rPr>
      </w:pPr>
      <w:bookmarkStart w:id="28" w:name="s17"/>
      <w:bookmarkEnd w:id="28"/>
      <w:r w:rsidRPr="00EB7500">
        <w:rPr>
          <w:rFonts w:eastAsia="Times New Roman"/>
          <w:b/>
          <w:bCs/>
          <w:sz w:val="27"/>
          <w:szCs w:val="27"/>
          <w:lang w:eastAsia="fr-FR"/>
        </w:rPr>
        <w:t>Buvette dans une enceinte sportive</w:t>
      </w:r>
    </w:p>
    <w:p w:rsidR="00EB7500" w:rsidRPr="00EB7500" w:rsidRDefault="00EB7500" w:rsidP="00EB7500">
      <w:pPr>
        <w:spacing w:before="100" w:beforeAutospacing="1" w:after="100" w:afterAutospacing="1" w:line="240" w:lineRule="auto"/>
        <w:outlineLvl w:val="3"/>
        <w:rPr>
          <w:rFonts w:eastAsia="Times New Roman"/>
          <w:lang w:eastAsia="fr-FR"/>
        </w:rPr>
      </w:pPr>
      <w:bookmarkStart w:id="29" w:name="s18"/>
      <w:bookmarkEnd w:id="29"/>
      <w:r w:rsidRPr="00EB7500">
        <w:rPr>
          <w:rFonts w:eastAsia="Times New Roman"/>
          <w:lang w:eastAsia="fr-FR"/>
        </w:rPr>
        <w:t>Interdiction de boissons alcoolisées dans les stades</w:t>
      </w:r>
    </w:p>
    <w:p w:rsidR="00EB7500" w:rsidRPr="00EB7500" w:rsidRDefault="00EB7500" w:rsidP="00EB7500">
      <w:pPr>
        <w:spacing w:after="0" w:line="240" w:lineRule="auto"/>
        <w:rPr>
          <w:rFonts w:eastAsia="Times New Roman"/>
          <w:lang w:eastAsia="fr-FR"/>
        </w:rPr>
      </w:pPr>
      <w:bookmarkStart w:id="30" w:name="5552"/>
      <w:bookmarkEnd w:id="30"/>
      <w:r w:rsidRPr="00EB7500">
        <w:rPr>
          <w:rFonts w:eastAsia="Times New Roman"/>
          <w:sz w:val="22"/>
          <w:szCs w:val="22"/>
          <w:lang w:eastAsia="fr-FR"/>
        </w:rPr>
        <w:t>5552</w:t>
      </w:r>
    </w:p>
    <w:p w:rsidR="00EB7500" w:rsidRPr="00EB7500" w:rsidRDefault="00EB7500" w:rsidP="00EB7500">
      <w:pPr>
        <w:spacing w:after="0" w:line="240" w:lineRule="auto"/>
        <w:rPr>
          <w:rFonts w:eastAsia="Times New Roman"/>
          <w:sz w:val="29"/>
          <w:szCs w:val="29"/>
          <w:lang w:eastAsia="fr-FR"/>
        </w:rPr>
      </w:pPr>
      <w:r w:rsidRPr="00EB7500">
        <w:rPr>
          <w:rFonts w:eastAsia="Times New Roman"/>
          <w:sz w:val="29"/>
          <w:szCs w:val="29"/>
          <w:lang w:eastAsia="fr-FR"/>
        </w:rPr>
        <w:t>La vente et la distribution de boissons des groupes 3 à 5, et donc de toutes boissons alcoolisées (voir § </w:t>
      </w:r>
      <w:hyperlink r:id="rId33" w:anchor="5546" w:history="1">
        <w:r w:rsidRPr="00EB7500">
          <w:rPr>
            <w:rFonts w:eastAsia="Times New Roman"/>
            <w:color w:val="0000FF"/>
            <w:sz w:val="29"/>
            <w:szCs w:val="29"/>
            <w:u w:val="single"/>
            <w:lang w:eastAsia="fr-FR"/>
          </w:rPr>
          <w:t>5546</w:t>
        </w:r>
      </w:hyperlink>
      <w:r w:rsidRPr="00EB7500">
        <w:rPr>
          <w:rFonts w:eastAsia="Times New Roman"/>
          <w:sz w:val="29"/>
          <w:szCs w:val="29"/>
          <w:lang w:eastAsia="fr-FR"/>
        </w:rPr>
        <w:t>), sont interdites dans les stades, dans les salles d’éducation physique, les gymnases et, d’une manière générale, dans tous les établissements d’activités physiques et sportives (c. santé pub. </w:t>
      </w:r>
      <w:hyperlink r:id="rId34" w:tgtFrame="_blank" w:history="1">
        <w:r w:rsidRPr="00EB7500">
          <w:rPr>
            <w:rFonts w:eastAsia="Times New Roman"/>
            <w:color w:val="0000FF"/>
            <w:sz w:val="21"/>
            <w:szCs w:val="21"/>
            <w:u w:val="single"/>
            <w:lang w:eastAsia="fr-FR"/>
          </w:rPr>
          <w:t>art. L. 3335-4</w:t>
        </w:r>
      </w:hyperlink>
      <w:r w:rsidRPr="00EB7500">
        <w:rPr>
          <w:rFonts w:eastAsia="Times New Roman"/>
          <w:sz w:val="29"/>
          <w:szCs w:val="29"/>
          <w:lang w:eastAsia="fr-FR"/>
        </w:rPr>
        <w:t>, al. 1).</w:t>
      </w:r>
    </w:p>
    <w:p w:rsidR="00EB7500" w:rsidRPr="00EB7500" w:rsidRDefault="00EB7500" w:rsidP="00EB7500">
      <w:pPr>
        <w:numPr>
          <w:ilvl w:val="0"/>
          <w:numId w:val="5"/>
        </w:numPr>
        <w:spacing w:after="150" w:line="240" w:lineRule="auto"/>
        <w:ind w:left="1695"/>
        <w:rPr>
          <w:rFonts w:eastAsia="Times New Roman"/>
          <w:sz w:val="29"/>
          <w:szCs w:val="29"/>
          <w:lang w:eastAsia="fr-FR"/>
        </w:rPr>
      </w:pPr>
      <w:r w:rsidRPr="00EB7500">
        <w:rPr>
          <w:rFonts w:eastAsia="Times New Roman"/>
          <w:b/>
          <w:bCs/>
          <w:sz w:val="29"/>
          <w:szCs w:val="29"/>
          <w:lang w:eastAsia="fr-FR"/>
        </w:rPr>
        <w:t>Notion d’établissement d’activités physiques.</w:t>
      </w:r>
      <w:r w:rsidRPr="00EB7500">
        <w:rPr>
          <w:rFonts w:eastAsia="Times New Roman"/>
          <w:sz w:val="29"/>
          <w:szCs w:val="29"/>
          <w:lang w:eastAsia="fr-FR"/>
        </w:rPr>
        <w:t> Un établissement d’activités physiques et sportives doit être compris comme la mise à disposition d’équipements sportifs, même mobiles, le cas échéant d’un enseignement, d’un encadrement ou de l’animation, de l’entraînement ou de l’accompagnement en vue de la pratique régulière ou occasionnelle d’une activité physique ou sportive (instr. min. Jeunesse et Sports 97-027 du 4 mars 1997). L’association qui organise une manifestation mettant à disposition des équipements sportifs ou une prestation de services sportifs est donc concernée par ces dispositions.</w:t>
      </w:r>
    </w:p>
    <w:p w:rsidR="00EB7500" w:rsidRPr="00EB7500" w:rsidRDefault="00EB7500" w:rsidP="00EB7500">
      <w:pPr>
        <w:numPr>
          <w:ilvl w:val="0"/>
          <w:numId w:val="5"/>
        </w:numPr>
        <w:spacing w:before="150" w:after="150" w:line="240" w:lineRule="auto"/>
        <w:ind w:left="1695"/>
        <w:rPr>
          <w:rFonts w:eastAsia="Times New Roman"/>
          <w:sz w:val="29"/>
          <w:szCs w:val="29"/>
          <w:lang w:eastAsia="fr-FR"/>
        </w:rPr>
      </w:pPr>
      <w:r w:rsidRPr="00EB7500">
        <w:rPr>
          <w:rFonts w:eastAsia="Times New Roman"/>
          <w:b/>
          <w:bCs/>
          <w:sz w:val="29"/>
          <w:szCs w:val="29"/>
          <w:lang w:eastAsia="fr-FR"/>
        </w:rPr>
        <w:t>Dérogations pour dix manifestations.</w:t>
      </w:r>
      <w:r w:rsidRPr="00EB7500">
        <w:rPr>
          <w:rFonts w:eastAsia="Times New Roman"/>
          <w:sz w:val="29"/>
          <w:szCs w:val="29"/>
          <w:lang w:eastAsia="fr-FR"/>
        </w:rPr>
        <w:t> Des dérogations temporaires, d’une durée de 48 heures au plus, peuvent être accordées par le maire pour des boissons de 3</w:t>
      </w:r>
      <w:r w:rsidRPr="00EB7500">
        <w:rPr>
          <w:rFonts w:eastAsia="Times New Roman"/>
          <w:sz w:val="29"/>
          <w:szCs w:val="29"/>
          <w:vertAlign w:val="superscript"/>
          <w:lang w:eastAsia="fr-FR"/>
        </w:rPr>
        <w:t>e</w:t>
      </w:r>
      <w:r w:rsidRPr="00EB7500">
        <w:rPr>
          <w:rFonts w:eastAsia="Times New Roman"/>
          <w:sz w:val="29"/>
          <w:szCs w:val="29"/>
          <w:lang w:eastAsia="fr-FR"/>
        </w:rPr>
        <w:t> catégorie vendues sur les stades et assimilés, en faveur (c. santé pub. </w:t>
      </w:r>
      <w:hyperlink r:id="rId35" w:tgtFrame="_blank" w:history="1">
        <w:r w:rsidRPr="00EB7500">
          <w:rPr>
            <w:rFonts w:eastAsia="Times New Roman"/>
            <w:color w:val="0000FF"/>
            <w:sz w:val="21"/>
            <w:szCs w:val="21"/>
            <w:u w:val="single"/>
            <w:lang w:eastAsia="fr-FR"/>
          </w:rPr>
          <w:t>art. L. 3335-4</w:t>
        </w:r>
      </w:hyperlink>
      <w:r w:rsidRPr="00EB7500">
        <w:rPr>
          <w:rFonts w:eastAsia="Times New Roman"/>
          <w:sz w:val="29"/>
          <w:szCs w:val="29"/>
          <w:lang w:eastAsia="fr-FR"/>
        </w:rPr>
        <w:t>, al. 3) :</w:t>
      </w:r>
    </w:p>
    <w:p w:rsidR="00EB7500" w:rsidRPr="00EB7500" w:rsidRDefault="00EB7500" w:rsidP="00EB7500">
      <w:pPr>
        <w:spacing w:before="30" w:after="0" w:line="240" w:lineRule="auto"/>
        <w:ind w:left="1695"/>
        <w:rPr>
          <w:rFonts w:eastAsia="Times New Roman"/>
          <w:sz w:val="29"/>
          <w:szCs w:val="29"/>
          <w:lang w:eastAsia="fr-FR"/>
        </w:rPr>
      </w:pPr>
      <w:r w:rsidRPr="00EB7500">
        <w:rPr>
          <w:rFonts w:eastAsia="Times New Roman"/>
          <w:sz w:val="29"/>
          <w:szCs w:val="29"/>
          <w:lang w:eastAsia="fr-FR"/>
        </w:rPr>
        <w:lastRenderedPageBreak/>
        <w:t>-des groupements sportifs agréés dans la limite de dix autorisations annuelles pour chaque groupement qui en fait la demande ;</w:t>
      </w:r>
    </w:p>
    <w:p w:rsidR="00EB7500" w:rsidRPr="00EB7500" w:rsidRDefault="00EB7500" w:rsidP="00EB7500">
      <w:pPr>
        <w:spacing w:before="30" w:after="0" w:line="240" w:lineRule="auto"/>
        <w:ind w:left="1695"/>
        <w:rPr>
          <w:rFonts w:eastAsia="Times New Roman"/>
          <w:sz w:val="29"/>
          <w:szCs w:val="29"/>
          <w:lang w:eastAsia="fr-FR"/>
        </w:rPr>
      </w:pPr>
      <w:r w:rsidRPr="00EB7500">
        <w:rPr>
          <w:rFonts w:eastAsia="Times New Roman"/>
          <w:sz w:val="29"/>
          <w:szCs w:val="29"/>
          <w:lang w:eastAsia="fr-FR"/>
        </w:rPr>
        <w:t>-des organisateurs de manifestations à caractère agricole dans la limite de deux autorisations annuelles par commune ;</w:t>
      </w:r>
    </w:p>
    <w:p w:rsidR="00EB7500" w:rsidRPr="00EB7500" w:rsidRDefault="00EB7500" w:rsidP="00EB7500">
      <w:pPr>
        <w:spacing w:before="30" w:line="240" w:lineRule="auto"/>
        <w:ind w:left="1695"/>
        <w:rPr>
          <w:rFonts w:eastAsia="Times New Roman"/>
          <w:sz w:val="29"/>
          <w:szCs w:val="29"/>
          <w:lang w:eastAsia="fr-FR"/>
        </w:rPr>
      </w:pPr>
      <w:r w:rsidRPr="00EB7500">
        <w:rPr>
          <w:rFonts w:eastAsia="Times New Roman"/>
          <w:sz w:val="29"/>
          <w:szCs w:val="29"/>
          <w:lang w:eastAsia="fr-FR"/>
        </w:rPr>
        <w:t>-des organisateurs de manifestations à caractère touristique dans la limite de quatre autorisations annuelles, au bénéfice des stations classées et des communes touristiques.</w:t>
      </w:r>
    </w:p>
    <w:p w:rsidR="00EB7500" w:rsidRPr="00EB7500" w:rsidRDefault="00EB7500" w:rsidP="00EB7500">
      <w:pPr>
        <w:spacing w:before="100" w:beforeAutospacing="1" w:after="100" w:afterAutospacing="1" w:line="240" w:lineRule="auto"/>
        <w:outlineLvl w:val="3"/>
        <w:rPr>
          <w:rFonts w:eastAsia="Times New Roman"/>
          <w:lang w:eastAsia="fr-FR"/>
        </w:rPr>
      </w:pPr>
      <w:bookmarkStart w:id="31" w:name="s19"/>
      <w:bookmarkEnd w:id="31"/>
      <w:r w:rsidRPr="00EB7500">
        <w:rPr>
          <w:rFonts w:eastAsia="Times New Roman"/>
          <w:lang w:eastAsia="fr-FR"/>
        </w:rPr>
        <w:t>Demande de dérogation</w:t>
      </w:r>
    </w:p>
    <w:p w:rsidR="00EB7500" w:rsidRPr="00EB7500" w:rsidRDefault="00EB7500" w:rsidP="00EB7500">
      <w:pPr>
        <w:spacing w:after="0" w:line="240" w:lineRule="auto"/>
        <w:rPr>
          <w:rFonts w:eastAsia="Times New Roman"/>
          <w:lang w:eastAsia="fr-FR"/>
        </w:rPr>
      </w:pPr>
      <w:bookmarkStart w:id="32" w:name="5553"/>
      <w:bookmarkEnd w:id="32"/>
      <w:r w:rsidRPr="00EB7500">
        <w:rPr>
          <w:rFonts w:eastAsia="Times New Roman"/>
          <w:sz w:val="22"/>
          <w:szCs w:val="22"/>
          <w:lang w:eastAsia="fr-FR"/>
        </w:rPr>
        <w:t>5553</w:t>
      </w:r>
    </w:p>
    <w:p w:rsidR="00EB7500" w:rsidRPr="00EB7500" w:rsidRDefault="00EB7500" w:rsidP="00EB7500">
      <w:pPr>
        <w:spacing w:after="0" w:line="240" w:lineRule="auto"/>
        <w:rPr>
          <w:rFonts w:eastAsia="Times New Roman"/>
          <w:sz w:val="29"/>
          <w:szCs w:val="29"/>
          <w:lang w:eastAsia="fr-FR"/>
        </w:rPr>
      </w:pPr>
      <w:r w:rsidRPr="00EB7500">
        <w:rPr>
          <w:rFonts w:eastAsia="Times New Roman"/>
          <w:sz w:val="29"/>
          <w:szCs w:val="29"/>
          <w:lang w:eastAsia="fr-FR"/>
        </w:rPr>
        <w:t>Les demandes de dérogation ne sont recevables que si les fédérations sportives ou les groupements pouvant y prétendre les adressent au plus tard 3 mois avant la date de la manifestation prévue. Ces demandes précisent la date et la nature des événements pour lesquels une dérogation est sollicitée. Toutefois, en cas de manifestation exceptionnelle, le préfet peut accorder une dérogation au vu de la demande adressée au moins 15 jours avant la date prévue pour la manifestation (c. santé pub. </w:t>
      </w:r>
      <w:hyperlink r:id="rId36" w:tgtFrame="_blank" w:history="1">
        <w:r w:rsidRPr="00EB7500">
          <w:rPr>
            <w:rFonts w:eastAsia="Times New Roman"/>
            <w:color w:val="0000FF"/>
            <w:sz w:val="21"/>
            <w:szCs w:val="21"/>
            <w:u w:val="single"/>
            <w:lang w:eastAsia="fr-FR"/>
          </w:rPr>
          <w:t>art. D. 3335-16</w:t>
        </w:r>
      </w:hyperlink>
      <w:r w:rsidRPr="00EB7500">
        <w:rPr>
          <w:rFonts w:eastAsia="Times New Roman"/>
          <w:sz w:val="29"/>
          <w:szCs w:val="29"/>
          <w:lang w:eastAsia="fr-FR"/>
        </w:rPr>
        <w:t>). Pour chaque dérogation, la demande doit préciser :</w:t>
      </w:r>
    </w:p>
    <w:p w:rsidR="00EB7500" w:rsidRPr="00EB7500" w:rsidRDefault="00EB7500" w:rsidP="00EB7500">
      <w:pPr>
        <w:spacing w:before="30" w:after="0" w:line="240" w:lineRule="auto"/>
        <w:rPr>
          <w:rFonts w:eastAsia="Times New Roman"/>
          <w:sz w:val="29"/>
          <w:szCs w:val="29"/>
          <w:lang w:eastAsia="fr-FR"/>
        </w:rPr>
      </w:pPr>
      <w:r w:rsidRPr="00EB7500">
        <w:rPr>
          <w:rFonts w:eastAsia="Times New Roman"/>
          <w:sz w:val="29"/>
          <w:szCs w:val="29"/>
          <w:lang w:eastAsia="fr-FR"/>
        </w:rPr>
        <w:t>-la date et la nature des événements pour lesquels une dérogation est sollicitée ;</w:t>
      </w:r>
    </w:p>
    <w:p w:rsidR="00EB7500" w:rsidRPr="00EB7500" w:rsidRDefault="00EB7500" w:rsidP="00EB7500">
      <w:pPr>
        <w:spacing w:before="30" w:after="0" w:line="240" w:lineRule="auto"/>
        <w:rPr>
          <w:rFonts w:eastAsia="Times New Roman"/>
          <w:sz w:val="29"/>
          <w:szCs w:val="29"/>
          <w:lang w:eastAsia="fr-FR"/>
        </w:rPr>
      </w:pPr>
      <w:r w:rsidRPr="00EB7500">
        <w:rPr>
          <w:rFonts w:eastAsia="Times New Roman"/>
          <w:sz w:val="29"/>
          <w:szCs w:val="29"/>
          <w:lang w:eastAsia="fr-FR"/>
        </w:rPr>
        <w:t>-les conditions de fonctionnement du débit de boissons ;</w:t>
      </w:r>
    </w:p>
    <w:p w:rsidR="00EB7500" w:rsidRPr="00EB7500" w:rsidRDefault="00EB7500" w:rsidP="00EB7500">
      <w:pPr>
        <w:spacing w:before="30" w:after="0" w:line="240" w:lineRule="auto"/>
        <w:rPr>
          <w:rFonts w:eastAsia="Times New Roman"/>
          <w:sz w:val="29"/>
          <w:szCs w:val="29"/>
          <w:lang w:eastAsia="fr-FR"/>
        </w:rPr>
      </w:pPr>
      <w:r w:rsidRPr="00EB7500">
        <w:rPr>
          <w:rFonts w:eastAsia="Times New Roman"/>
          <w:sz w:val="29"/>
          <w:szCs w:val="29"/>
          <w:lang w:eastAsia="fr-FR"/>
        </w:rPr>
        <w:t>-les horaires d’ouverture ;</w:t>
      </w:r>
    </w:p>
    <w:p w:rsidR="00EB7500" w:rsidRPr="00EB7500" w:rsidRDefault="00EB7500" w:rsidP="00EB7500">
      <w:pPr>
        <w:spacing w:before="30" w:after="0" w:line="240" w:lineRule="auto"/>
        <w:rPr>
          <w:rFonts w:eastAsia="Times New Roman"/>
          <w:sz w:val="29"/>
          <w:szCs w:val="29"/>
          <w:lang w:eastAsia="fr-FR"/>
        </w:rPr>
      </w:pPr>
      <w:r w:rsidRPr="00EB7500">
        <w:rPr>
          <w:rFonts w:eastAsia="Times New Roman"/>
          <w:sz w:val="29"/>
          <w:szCs w:val="29"/>
          <w:lang w:eastAsia="fr-FR"/>
        </w:rPr>
        <w:t>-les catégories de boissons concernées (c. santé pub. </w:t>
      </w:r>
      <w:hyperlink r:id="rId37" w:tgtFrame="_blank" w:history="1">
        <w:r w:rsidRPr="00EB7500">
          <w:rPr>
            <w:rFonts w:eastAsia="Times New Roman"/>
            <w:color w:val="0000FF"/>
            <w:sz w:val="21"/>
            <w:szCs w:val="21"/>
            <w:u w:val="single"/>
            <w:lang w:eastAsia="fr-FR"/>
          </w:rPr>
          <w:t>art. D. 3335-17</w:t>
        </w:r>
      </w:hyperlink>
      <w:r w:rsidRPr="00EB7500">
        <w:rPr>
          <w:rFonts w:eastAsia="Times New Roman"/>
          <w:sz w:val="29"/>
          <w:szCs w:val="29"/>
          <w:lang w:eastAsia="fr-FR"/>
        </w:rPr>
        <w:t>).</w:t>
      </w:r>
    </w:p>
    <w:p w:rsidR="00EB7500" w:rsidRPr="00EB7500" w:rsidRDefault="00EB7500" w:rsidP="00EB7500">
      <w:pPr>
        <w:spacing w:after="0" w:line="240" w:lineRule="auto"/>
        <w:rPr>
          <w:rFonts w:eastAsia="Times New Roman"/>
          <w:sz w:val="29"/>
          <w:szCs w:val="29"/>
          <w:lang w:eastAsia="fr-FR"/>
        </w:rPr>
      </w:pPr>
      <w:r w:rsidRPr="00EB7500">
        <w:rPr>
          <w:rFonts w:eastAsia="Times New Roman"/>
          <w:sz w:val="29"/>
          <w:szCs w:val="29"/>
          <w:lang w:eastAsia="fr-FR"/>
        </w:rPr>
        <w:t>Les arrêtés municipaux d’autorisation précisent les conditions de fonctionnement de la buvette, ses horaires d’ouverture et les boissons qui peuvent y être offertes.</w:t>
      </w:r>
    </w:p>
    <w:p w:rsidR="00EB7500" w:rsidRPr="00EB7500" w:rsidRDefault="00EB7500" w:rsidP="00EB7500">
      <w:pPr>
        <w:numPr>
          <w:ilvl w:val="0"/>
          <w:numId w:val="6"/>
        </w:numPr>
        <w:spacing w:after="150" w:line="240" w:lineRule="auto"/>
        <w:ind w:left="1695"/>
        <w:rPr>
          <w:rFonts w:eastAsia="Times New Roman"/>
          <w:sz w:val="29"/>
          <w:szCs w:val="29"/>
          <w:lang w:eastAsia="fr-FR"/>
        </w:rPr>
      </w:pPr>
      <w:r w:rsidRPr="00EB7500">
        <w:rPr>
          <w:rFonts w:eastAsia="Times New Roman"/>
          <w:b/>
          <w:bCs/>
          <w:sz w:val="29"/>
          <w:szCs w:val="29"/>
          <w:lang w:eastAsia="fr-FR"/>
        </w:rPr>
        <w:t>Dix dérogations pour les groupements sportifs.</w:t>
      </w:r>
      <w:r w:rsidRPr="00EB7500">
        <w:rPr>
          <w:rFonts w:eastAsia="Times New Roman"/>
          <w:sz w:val="29"/>
          <w:szCs w:val="29"/>
          <w:lang w:eastAsia="fr-FR"/>
        </w:rPr>
        <w:t> Pour bénéficier de dix dérogations annuelles, il faut que deux conditions soient réunies :</w:t>
      </w:r>
    </w:p>
    <w:p w:rsidR="00EB7500" w:rsidRPr="00EB7500" w:rsidRDefault="00EB7500" w:rsidP="00EB7500">
      <w:pPr>
        <w:spacing w:before="30" w:after="0" w:line="240" w:lineRule="auto"/>
        <w:ind w:left="1695"/>
        <w:rPr>
          <w:rFonts w:eastAsia="Times New Roman"/>
          <w:sz w:val="29"/>
          <w:szCs w:val="29"/>
          <w:lang w:eastAsia="fr-FR"/>
        </w:rPr>
      </w:pPr>
      <w:r w:rsidRPr="00EB7500">
        <w:rPr>
          <w:rFonts w:eastAsia="Times New Roman"/>
          <w:sz w:val="29"/>
          <w:szCs w:val="29"/>
          <w:lang w:eastAsia="fr-FR"/>
        </w:rPr>
        <w:t>-d’une part, qu’il y ait mise à disposition d’équipements sportifs, même mobiles, et, le cas échéant, mise à disposition de personnes capables d’enseigner, d’encadrer ou d’animer une activité physique et sportive ;</w:t>
      </w:r>
    </w:p>
    <w:p w:rsidR="00EB7500" w:rsidRPr="00EB7500" w:rsidRDefault="00EB7500" w:rsidP="00EB7500">
      <w:pPr>
        <w:spacing w:before="30" w:after="0" w:line="240" w:lineRule="auto"/>
        <w:ind w:left="1695"/>
        <w:rPr>
          <w:rFonts w:eastAsia="Times New Roman"/>
          <w:sz w:val="29"/>
          <w:szCs w:val="29"/>
          <w:lang w:eastAsia="fr-FR"/>
        </w:rPr>
      </w:pPr>
      <w:r w:rsidRPr="00EB7500">
        <w:rPr>
          <w:rFonts w:eastAsia="Times New Roman"/>
          <w:sz w:val="29"/>
          <w:szCs w:val="29"/>
          <w:lang w:eastAsia="fr-FR"/>
        </w:rPr>
        <w:t>-d’autre part, que l’organisateur de la manifestation sportive soit un groupement sportif agréé au sens de la loi (rép. Briand, JO 3 mai 1999, p. 2706).</w:t>
      </w:r>
    </w:p>
    <w:p w:rsidR="00EB7500" w:rsidRPr="00EB7500" w:rsidRDefault="00EB7500" w:rsidP="00EB7500">
      <w:pPr>
        <w:spacing w:before="150" w:after="150" w:line="240" w:lineRule="auto"/>
        <w:ind w:left="1695"/>
        <w:rPr>
          <w:rFonts w:eastAsia="Times New Roman"/>
          <w:sz w:val="29"/>
          <w:szCs w:val="29"/>
          <w:lang w:eastAsia="fr-FR"/>
        </w:rPr>
      </w:pPr>
      <w:r w:rsidRPr="00EB7500">
        <w:rPr>
          <w:rFonts w:eastAsia="Times New Roman"/>
          <w:sz w:val="29"/>
          <w:szCs w:val="29"/>
          <w:lang w:eastAsia="fr-FR"/>
        </w:rPr>
        <w:t>Les autorisations sont comptabilisées par association. Si, dans une même enceinte sportive, plusieurs groupements participent, chacun d’eux peut bénéficier de dix dérogations par an.</w:t>
      </w:r>
    </w:p>
    <w:p w:rsidR="00EB7500" w:rsidRPr="00EB7500" w:rsidRDefault="00EB7500" w:rsidP="00EB7500">
      <w:pPr>
        <w:numPr>
          <w:ilvl w:val="0"/>
          <w:numId w:val="6"/>
        </w:numPr>
        <w:spacing w:before="150" w:line="240" w:lineRule="auto"/>
        <w:ind w:left="1695"/>
        <w:rPr>
          <w:rFonts w:eastAsia="Times New Roman"/>
          <w:sz w:val="29"/>
          <w:szCs w:val="29"/>
          <w:lang w:eastAsia="fr-FR"/>
        </w:rPr>
      </w:pPr>
      <w:r w:rsidRPr="00EB7500">
        <w:rPr>
          <w:rFonts w:eastAsia="Times New Roman"/>
          <w:b/>
          <w:bCs/>
          <w:sz w:val="29"/>
          <w:szCs w:val="29"/>
          <w:lang w:eastAsia="fr-FR"/>
        </w:rPr>
        <w:lastRenderedPageBreak/>
        <w:t>Club omnisports.</w:t>
      </w:r>
      <w:r w:rsidRPr="00EB7500">
        <w:rPr>
          <w:rFonts w:eastAsia="Times New Roman"/>
          <w:sz w:val="29"/>
          <w:szCs w:val="29"/>
          <w:lang w:eastAsia="fr-FR"/>
        </w:rPr>
        <w:t> S’agissant d’un club omnisports, les arrêtés préfectoraux octroyant les dérogations s’entendent d’autorisations accordées au club lui-même, structure d’accueil de différentes sections sportives, à charge pour ce club de les répartir entre les différentes sections qui le composent, particulièrement dès lors que ces dernières ne sont pas, elles-mêmes, constituées sous la forme d’association régie par la loi de 1901. En effet, toute autre interprétation conduirait à une quasi-généralisation de l’exploitation de buvettes sur les stades et dans les gymnases (rép. Parrenin n° 45021, JO 31 juillet 2000, AN quest. p. 4565).</w:t>
      </w:r>
    </w:p>
    <w:p w:rsidR="00EB7500" w:rsidRPr="00EB7500" w:rsidRDefault="00EB7500" w:rsidP="00EB7500">
      <w:pPr>
        <w:pBdr>
          <w:bottom w:val="single" w:sz="6" w:space="8" w:color="E5E5E5"/>
        </w:pBdr>
        <w:spacing w:before="100" w:beforeAutospacing="1" w:after="100" w:afterAutospacing="1" w:line="240" w:lineRule="auto"/>
        <w:outlineLvl w:val="2"/>
        <w:rPr>
          <w:rFonts w:eastAsia="Times New Roman"/>
          <w:b/>
          <w:bCs/>
          <w:sz w:val="27"/>
          <w:szCs w:val="27"/>
          <w:lang w:eastAsia="fr-FR"/>
        </w:rPr>
      </w:pPr>
      <w:bookmarkStart w:id="33" w:name="s20"/>
      <w:bookmarkEnd w:id="33"/>
      <w:r w:rsidRPr="00EB7500">
        <w:rPr>
          <w:rFonts w:eastAsia="Times New Roman"/>
          <w:b/>
          <w:bCs/>
          <w:sz w:val="27"/>
          <w:szCs w:val="27"/>
          <w:lang w:eastAsia="fr-FR"/>
        </w:rPr>
        <w:t>Publicité interdite</w:t>
      </w:r>
    </w:p>
    <w:p w:rsidR="00EB7500" w:rsidRPr="00EB7500" w:rsidRDefault="00EB7500" w:rsidP="00EB7500">
      <w:pPr>
        <w:spacing w:after="0" w:line="240" w:lineRule="auto"/>
        <w:rPr>
          <w:rFonts w:eastAsia="Times New Roman"/>
          <w:lang w:eastAsia="fr-FR"/>
        </w:rPr>
      </w:pPr>
      <w:bookmarkStart w:id="34" w:name="5554"/>
      <w:bookmarkEnd w:id="34"/>
      <w:r w:rsidRPr="00EB7500">
        <w:rPr>
          <w:rFonts w:eastAsia="Times New Roman"/>
          <w:sz w:val="22"/>
          <w:szCs w:val="22"/>
          <w:lang w:eastAsia="fr-FR"/>
        </w:rPr>
        <w:t>5554</w:t>
      </w:r>
    </w:p>
    <w:p w:rsidR="00EB7500" w:rsidRPr="00EB7500" w:rsidRDefault="00EB7500" w:rsidP="00EB7500">
      <w:pPr>
        <w:spacing w:after="0" w:line="240" w:lineRule="auto"/>
        <w:rPr>
          <w:rFonts w:eastAsia="Times New Roman"/>
          <w:sz w:val="29"/>
          <w:szCs w:val="29"/>
          <w:lang w:eastAsia="fr-FR"/>
        </w:rPr>
      </w:pPr>
      <w:r w:rsidRPr="00EB7500">
        <w:rPr>
          <w:rFonts w:eastAsia="Times New Roman"/>
          <w:sz w:val="29"/>
          <w:szCs w:val="29"/>
          <w:lang w:eastAsia="fr-FR"/>
        </w:rPr>
        <w:t>La diffusion de messages publicitaires en faveur des boissons contenant plus d’un degré d’alcool est notamment interdite dans le cas de la publicité sur les stades, les terrains de sport publics ou privés, dans les lieux où sont installées des piscines (c. santé pub. </w:t>
      </w:r>
      <w:hyperlink r:id="rId38" w:tgtFrame="_blank" w:history="1">
        <w:r w:rsidRPr="00EB7500">
          <w:rPr>
            <w:rFonts w:eastAsia="Times New Roman"/>
            <w:color w:val="0000FF"/>
            <w:sz w:val="21"/>
            <w:szCs w:val="21"/>
            <w:u w:val="single"/>
            <w:lang w:eastAsia="fr-FR"/>
          </w:rPr>
          <w:t>art. L. 3323-2</w:t>
        </w:r>
      </w:hyperlink>
      <w:r w:rsidRPr="00EB7500">
        <w:rPr>
          <w:rFonts w:eastAsia="Times New Roman"/>
          <w:sz w:val="29"/>
          <w:szCs w:val="29"/>
          <w:lang w:eastAsia="fr-FR"/>
        </w:rPr>
        <w:t> et </w:t>
      </w:r>
      <w:hyperlink r:id="rId39" w:tgtFrame="_blank" w:history="1">
        <w:r w:rsidRPr="00EB7500">
          <w:rPr>
            <w:rFonts w:eastAsia="Times New Roman"/>
            <w:color w:val="0000FF"/>
            <w:sz w:val="21"/>
            <w:szCs w:val="21"/>
            <w:u w:val="single"/>
            <w:lang w:eastAsia="fr-FR"/>
          </w:rPr>
          <w:t>L. 3323-3</w:t>
        </w:r>
      </w:hyperlink>
      <w:r w:rsidRPr="00EB7500">
        <w:rPr>
          <w:rFonts w:eastAsia="Times New Roman"/>
          <w:sz w:val="29"/>
          <w:szCs w:val="29"/>
          <w:lang w:eastAsia="fr-FR"/>
        </w:rPr>
        <w:t>). À l’intérieur des expositions ou foires, les débits temporaires (voir § </w:t>
      </w:r>
      <w:hyperlink r:id="rId40" w:anchor="5549" w:history="1">
        <w:r w:rsidRPr="00EB7500">
          <w:rPr>
            <w:rFonts w:eastAsia="Times New Roman"/>
            <w:color w:val="0000FF"/>
            <w:sz w:val="29"/>
            <w:szCs w:val="29"/>
            <w:u w:val="single"/>
            <w:lang w:eastAsia="fr-FR"/>
          </w:rPr>
          <w:t>5549</w:t>
        </w:r>
      </w:hyperlink>
      <w:r w:rsidRPr="00EB7500">
        <w:rPr>
          <w:rFonts w:eastAsia="Times New Roman"/>
          <w:sz w:val="29"/>
          <w:szCs w:val="29"/>
          <w:lang w:eastAsia="fr-FR"/>
        </w:rPr>
        <w:t>) peuvent apposer certaines affichettes dans des conditions fixées par l’article R. 3323-2 du code de la santé publique.</w:t>
      </w:r>
    </w:p>
    <w:p w:rsidR="00EB7500" w:rsidRPr="00EB7500" w:rsidRDefault="00EB7500" w:rsidP="00EB7500">
      <w:pPr>
        <w:spacing w:line="240" w:lineRule="auto"/>
        <w:rPr>
          <w:rFonts w:eastAsia="Times New Roman"/>
          <w:sz w:val="29"/>
          <w:szCs w:val="29"/>
          <w:lang w:eastAsia="fr-FR"/>
        </w:rPr>
      </w:pPr>
      <w:r w:rsidRPr="00EB7500">
        <w:rPr>
          <w:rFonts w:eastAsia="Times New Roman"/>
          <w:sz w:val="29"/>
          <w:szCs w:val="29"/>
          <w:lang w:eastAsia="fr-FR"/>
        </w:rPr>
        <w:t>Les infractions aux dispositions de l’article L. 3323-2 du code de la santé publique sont punies d’une amende de 75 000 € ; le maximum de l’amende peut être porté à 50 % du montant des dépenses consacrées à l’opération illégale (c. santé pub. </w:t>
      </w:r>
      <w:hyperlink r:id="rId41" w:tgtFrame="_blank" w:history="1">
        <w:r w:rsidRPr="00EB7500">
          <w:rPr>
            <w:rFonts w:eastAsia="Times New Roman"/>
            <w:color w:val="0000FF"/>
            <w:sz w:val="21"/>
            <w:szCs w:val="21"/>
            <w:u w:val="single"/>
            <w:lang w:eastAsia="fr-FR"/>
          </w:rPr>
          <w:t>art. L. 3351-7</w:t>
        </w:r>
      </w:hyperlink>
      <w:r w:rsidRPr="00EB7500">
        <w:rPr>
          <w:rFonts w:eastAsia="Times New Roman"/>
          <w:sz w:val="29"/>
          <w:szCs w:val="29"/>
          <w:lang w:eastAsia="fr-FR"/>
        </w:rPr>
        <w:t>).</w:t>
      </w:r>
    </w:p>
    <w:p w:rsidR="000E2E5A" w:rsidRDefault="000E2E5A">
      <w:bookmarkStart w:id="35" w:name="_GoBack"/>
      <w:bookmarkEnd w:id="35"/>
    </w:p>
    <w:sectPr w:rsidR="000E2E5A" w:rsidSect="009E63C1">
      <w:pgSz w:w="11906" w:h="16838"/>
      <w:pgMar w:top="837" w:right="1417" w:bottom="1134" w:left="1417" w:header="284" w:footer="340"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F246E3"/>
    <w:multiLevelType w:val="multilevel"/>
    <w:tmpl w:val="5C7450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62B1870"/>
    <w:multiLevelType w:val="multilevel"/>
    <w:tmpl w:val="8280D9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E677FD7"/>
    <w:multiLevelType w:val="multilevel"/>
    <w:tmpl w:val="76C279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62C2A38"/>
    <w:multiLevelType w:val="multilevel"/>
    <w:tmpl w:val="E084E1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8D94588"/>
    <w:multiLevelType w:val="multilevel"/>
    <w:tmpl w:val="5F6C3F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5AD5619F"/>
    <w:multiLevelType w:val="multilevel"/>
    <w:tmpl w:val="C590CF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2"/>
  </w:num>
  <w:num w:numId="3">
    <w:abstractNumId w:val="1"/>
  </w:num>
  <w:num w:numId="4">
    <w:abstractNumId w:val="4"/>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grammar="clean"/>
  <w:defaultTabStop w:val="708"/>
  <w:hyphenationZone w:val="425"/>
  <w:drawingGridHorizontalSpacing w:val="10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5B53"/>
    <w:rsid w:val="000E2E5A"/>
    <w:rsid w:val="009E63C1"/>
    <w:rsid w:val="00E45B53"/>
    <w:rsid w:val="00EB750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4"/>
        <w:szCs w:val="24"/>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itre1">
    <w:name w:val="heading 1"/>
    <w:basedOn w:val="Normal"/>
    <w:link w:val="Titre1Car"/>
    <w:uiPriority w:val="9"/>
    <w:qFormat/>
    <w:rsid w:val="00EB7500"/>
    <w:pPr>
      <w:spacing w:before="100" w:beforeAutospacing="1" w:after="100" w:afterAutospacing="1" w:line="240" w:lineRule="auto"/>
      <w:outlineLvl w:val="0"/>
    </w:pPr>
    <w:rPr>
      <w:rFonts w:eastAsia="Times New Roman"/>
      <w:b/>
      <w:bCs/>
      <w:kern w:val="36"/>
      <w:sz w:val="48"/>
      <w:szCs w:val="48"/>
      <w:lang w:eastAsia="fr-FR"/>
    </w:rPr>
  </w:style>
  <w:style w:type="paragraph" w:styleId="Titre2">
    <w:name w:val="heading 2"/>
    <w:basedOn w:val="Normal"/>
    <w:link w:val="Titre2Car"/>
    <w:uiPriority w:val="9"/>
    <w:qFormat/>
    <w:rsid w:val="00EB7500"/>
    <w:pPr>
      <w:spacing w:before="100" w:beforeAutospacing="1" w:after="100" w:afterAutospacing="1" w:line="240" w:lineRule="auto"/>
      <w:outlineLvl w:val="1"/>
    </w:pPr>
    <w:rPr>
      <w:rFonts w:eastAsia="Times New Roman"/>
      <w:b/>
      <w:bCs/>
      <w:sz w:val="36"/>
      <w:szCs w:val="36"/>
      <w:lang w:eastAsia="fr-FR"/>
    </w:rPr>
  </w:style>
  <w:style w:type="paragraph" w:styleId="Titre3">
    <w:name w:val="heading 3"/>
    <w:basedOn w:val="Normal"/>
    <w:link w:val="Titre3Car"/>
    <w:uiPriority w:val="9"/>
    <w:qFormat/>
    <w:rsid w:val="00EB7500"/>
    <w:pPr>
      <w:spacing w:before="100" w:beforeAutospacing="1" w:after="100" w:afterAutospacing="1" w:line="240" w:lineRule="auto"/>
      <w:outlineLvl w:val="2"/>
    </w:pPr>
    <w:rPr>
      <w:rFonts w:eastAsia="Times New Roman"/>
      <w:b/>
      <w:bCs/>
      <w:sz w:val="27"/>
      <w:szCs w:val="27"/>
      <w:lang w:eastAsia="fr-FR"/>
    </w:rPr>
  </w:style>
  <w:style w:type="paragraph" w:styleId="Titre4">
    <w:name w:val="heading 4"/>
    <w:basedOn w:val="Normal"/>
    <w:link w:val="Titre4Car"/>
    <w:uiPriority w:val="9"/>
    <w:qFormat/>
    <w:rsid w:val="00EB7500"/>
    <w:pPr>
      <w:spacing w:before="100" w:beforeAutospacing="1" w:after="100" w:afterAutospacing="1" w:line="240" w:lineRule="auto"/>
      <w:outlineLvl w:val="3"/>
    </w:pPr>
    <w:rPr>
      <w:rFonts w:eastAsia="Times New Roman"/>
      <w:b/>
      <w:bCs/>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EB7500"/>
    <w:rPr>
      <w:rFonts w:eastAsia="Times New Roman"/>
      <w:b/>
      <w:bCs/>
      <w:kern w:val="36"/>
      <w:sz w:val="48"/>
      <w:szCs w:val="48"/>
      <w:lang w:eastAsia="fr-FR"/>
    </w:rPr>
  </w:style>
  <w:style w:type="character" w:customStyle="1" w:styleId="Titre2Car">
    <w:name w:val="Titre 2 Car"/>
    <w:basedOn w:val="Policepardfaut"/>
    <w:link w:val="Titre2"/>
    <w:uiPriority w:val="9"/>
    <w:rsid w:val="00EB7500"/>
    <w:rPr>
      <w:rFonts w:eastAsia="Times New Roman"/>
      <w:b/>
      <w:bCs/>
      <w:sz w:val="36"/>
      <w:szCs w:val="36"/>
      <w:lang w:eastAsia="fr-FR"/>
    </w:rPr>
  </w:style>
  <w:style w:type="character" w:customStyle="1" w:styleId="Titre3Car">
    <w:name w:val="Titre 3 Car"/>
    <w:basedOn w:val="Policepardfaut"/>
    <w:link w:val="Titre3"/>
    <w:uiPriority w:val="9"/>
    <w:rsid w:val="00EB7500"/>
    <w:rPr>
      <w:rFonts w:eastAsia="Times New Roman"/>
      <w:b/>
      <w:bCs/>
      <w:sz w:val="27"/>
      <w:szCs w:val="27"/>
      <w:lang w:eastAsia="fr-FR"/>
    </w:rPr>
  </w:style>
  <w:style w:type="character" w:customStyle="1" w:styleId="Titre4Car">
    <w:name w:val="Titre 4 Car"/>
    <w:basedOn w:val="Policepardfaut"/>
    <w:link w:val="Titre4"/>
    <w:uiPriority w:val="9"/>
    <w:rsid w:val="00EB7500"/>
    <w:rPr>
      <w:rFonts w:eastAsia="Times New Roman"/>
      <w:b/>
      <w:bCs/>
      <w:lang w:eastAsia="fr-FR"/>
    </w:rPr>
  </w:style>
  <w:style w:type="character" w:customStyle="1" w:styleId="ctparagraphe">
    <w:name w:val="ct_paragraphe"/>
    <w:basedOn w:val="Policepardfaut"/>
    <w:rsid w:val="00EB7500"/>
  </w:style>
  <w:style w:type="paragraph" w:styleId="NormalWeb">
    <w:name w:val="Normal (Web)"/>
    <w:basedOn w:val="Normal"/>
    <w:uiPriority w:val="99"/>
    <w:semiHidden/>
    <w:unhideWhenUsed/>
    <w:rsid w:val="00EB7500"/>
    <w:pPr>
      <w:spacing w:before="100" w:beforeAutospacing="1" w:after="100" w:afterAutospacing="1" w:line="240" w:lineRule="auto"/>
    </w:pPr>
    <w:rPr>
      <w:rFonts w:eastAsia="Times New Roman"/>
      <w:lang w:eastAsia="fr-FR"/>
    </w:rPr>
  </w:style>
  <w:style w:type="character" w:styleId="Lienhypertexte">
    <w:name w:val="Hyperlink"/>
    <w:basedOn w:val="Policepardfaut"/>
    <w:uiPriority w:val="99"/>
    <w:semiHidden/>
    <w:unhideWhenUsed/>
    <w:rsid w:val="00EB7500"/>
    <w:rPr>
      <w:color w:val="0000FF"/>
      <w:u w:val="single"/>
    </w:rPr>
  </w:style>
  <w:style w:type="character" w:styleId="lev">
    <w:name w:val="Strong"/>
    <w:basedOn w:val="Policepardfaut"/>
    <w:uiPriority w:val="22"/>
    <w:qFormat/>
    <w:rsid w:val="00EB7500"/>
    <w:rPr>
      <w:b/>
      <w:bCs/>
    </w:rPr>
  </w:style>
  <w:style w:type="character" w:customStyle="1" w:styleId="ctreference">
    <w:name w:val="ct_reference"/>
    <w:basedOn w:val="Policepardfaut"/>
    <w:rsid w:val="00EB750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4"/>
        <w:szCs w:val="24"/>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itre1">
    <w:name w:val="heading 1"/>
    <w:basedOn w:val="Normal"/>
    <w:link w:val="Titre1Car"/>
    <w:uiPriority w:val="9"/>
    <w:qFormat/>
    <w:rsid w:val="00EB7500"/>
    <w:pPr>
      <w:spacing w:before="100" w:beforeAutospacing="1" w:after="100" w:afterAutospacing="1" w:line="240" w:lineRule="auto"/>
      <w:outlineLvl w:val="0"/>
    </w:pPr>
    <w:rPr>
      <w:rFonts w:eastAsia="Times New Roman"/>
      <w:b/>
      <w:bCs/>
      <w:kern w:val="36"/>
      <w:sz w:val="48"/>
      <w:szCs w:val="48"/>
      <w:lang w:eastAsia="fr-FR"/>
    </w:rPr>
  </w:style>
  <w:style w:type="paragraph" w:styleId="Titre2">
    <w:name w:val="heading 2"/>
    <w:basedOn w:val="Normal"/>
    <w:link w:val="Titre2Car"/>
    <w:uiPriority w:val="9"/>
    <w:qFormat/>
    <w:rsid w:val="00EB7500"/>
    <w:pPr>
      <w:spacing w:before="100" w:beforeAutospacing="1" w:after="100" w:afterAutospacing="1" w:line="240" w:lineRule="auto"/>
      <w:outlineLvl w:val="1"/>
    </w:pPr>
    <w:rPr>
      <w:rFonts w:eastAsia="Times New Roman"/>
      <w:b/>
      <w:bCs/>
      <w:sz w:val="36"/>
      <w:szCs w:val="36"/>
      <w:lang w:eastAsia="fr-FR"/>
    </w:rPr>
  </w:style>
  <w:style w:type="paragraph" w:styleId="Titre3">
    <w:name w:val="heading 3"/>
    <w:basedOn w:val="Normal"/>
    <w:link w:val="Titre3Car"/>
    <w:uiPriority w:val="9"/>
    <w:qFormat/>
    <w:rsid w:val="00EB7500"/>
    <w:pPr>
      <w:spacing w:before="100" w:beforeAutospacing="1" w:after="100" w:afterAutospacing="1" w:line="240" w:lineRule="auto"/>
      <w:outlineLvl w:val="2"/>
    </w:pPr>
    <w:rPr>
      <w:rFonts w:eastAsia="Times New Roman"/>
      <w:b/>
      <w:bCs/>
      <w:sz w:val="27"/>
      <w:szCs w:val="27"/>
      <w:lang w:eastAsia="fr-FR"/>
    </w:rPr>
  </w:style>
  <w:style w:type="paragraph" w:styleId="Titre4">
    <w:name w:val="heading 4"/>
    <w:basedOn w:val="Normal"/>
    <w:link w:val="Titre4Car"/>
    <w:uiPriority w:val="9"/>
    <w:qFormat/>
    <w:rsid w:val="00EB7500"/>
    <w:pPr>
      <w:spacing w:before="100" w:beforeAutospacing="1" w:after="100" w:afterAutospacing="1" w:line="240" w:lineRule="auto"/>
      <w:outlineLvl w:val="3"/>
    </w:pPr>
    <w:rPr>
      <w:rFonts w:eastAsia="Times New Roman"/>
      <w:b/>
      <w:bCs/>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EB7500"/>
    <w:rPr>
      <w:rFonts w:eastAsia="Times New Roman"/>
      <w:b/>
      <w:bCs/>
      <w:kern w:val="36"/>
      <w:sz w:val="48"/>
      <w:szCs w:val="48"/>
      <w:lang w:eastAsia="fr-FR"/>
    </w:rPr>
  </w:style>
  <w:style w:type="character" w:customStyle="1" w:styleId="Titre2Car">
    <w:name w:val="Titre 2 Car"/>
    <w:basedOn w:val="Policepardfaut"/>
    <w:link w:val="Titre2"/>
    <w:uiPriority w:val="9"/>
    <w:rsid w:val="00EB7500"/>
    <w:rPr>
      <w:rFonts w:eastAsia="Times New Roman"/>
      <w:b/>
      <w:bCs/>
      <w:sz w:val="36"/>
      <w:szCs w:val="36"/>
      <w:lang w:eastAsia="fr-FR"/>
    </w:rPr>
  </w:style>
  <w:style w:type="character" w:customStyle="1" w:styleId="Titre3Car">
    <w:name w:val="Titre 3 Car"/>
    <w:basedOn w:val="Policepardfaut"/>
    <w:link w:val="Titre3"/>
    <w:uiPriority w:val="9"/>
    <w:rsid w:val="00EB7500"/>
    <w:rPr>
      <w:rFonts w:eastAsia="Times New Roman"/>
      <w:b/>
      <w:bCs/>
      <w:sz w:val="27"/>
      <w:szCs w:val="27"/>
      <w:lang w:eastAsia="fr-FR"/>
    </w:rPr>
  </w:style>
  <w:style w:type="character" w:customStyle="1" w:styleId="Titre4Car">
    <w:name w:val="Titre 4 Car"/>
    <w:basedOn w:val="Policepardfaut"/>
    <w:link w:val="Titre4"/>
    <w:uiPriority w:val="9"/>
    <w:rsid w:val="00EB7500"/>
    <w:rPr>
      <w:rFonts w:eastAsia="Times New Roman"/>
      <w:b/>
      <w:bCs/>
      <w:lang w:eastAsia="fr-FR"/>
    </w:rPr>
  </w:style>
  <w:style w:type="character" w:customStyle="1" w:styleId="ctparagraphe">
    <w:name w:val="ct_paragraphe"/>
    <w:basedOn w:val="Policepardfaut"/>
    <w:rsid w:val="00EB7500"/>
  </w:style>
  <w:style w:type="paragraph" w:styleId="NormalWeb">
    <w:name w:val="Normal (Web)"/>
    <w:basedOn w:val="Normal"/>
    <w:uiPriority w:val="99"/>
    <w:semiHidden/>
    <w:unhideWhenUsed/>
    <w:rsid w:val="00EB7500"/>
    <w:pPr>
      <w:spacing w:before="100" w:beforeAutospacing="1" w:after="100" w:afterAutospacing="1" w:line="240" w:lineRule="auto"/>
    </w:pPr>
    <w:rPr>
      <w:rFonts w:eastAsia="Times New Roman"/>
      <w:lang w:eastAsia="fr-FR"/>
    </w:rPr>
  </w:style>
  <w:style w:type="character" w:styleId="Lienhypertexte">
    <w:name w:val="Hyperlink"/>
    <w:basedOn w:val="Policepardfaut"/>
    <w:uiPriority w:val="99"/>
    <w:semiHidden/>
    <w:unhideWhenUsed/>
    <w:rsid w:val="00EB7500"/>
    <w:rPr>
      <w:color w:val="0000FF"/>
      <w:u w:val="single"/>
    </w:rPr>
  </w:style>
  <w:style w:type="character" w:styleId="lev">
    <w:name w:val="Strong"/>
    <w:basedOn w:val="Policepardfaut"/>
    <w:uiPriority w:val="22"/>
    <w:qFormat/>
    <w:rsid w:val="00EB7500"/>
    <w:rPr>
      <w:b/>
      <w:bCs/>
    </w:rPr>
  </w:style>
  <w:style w:type="character" w:customStyle="1" w:styleId="ctreference">
    <w:name w:val="ct_reference"/>
    <w:basedOn w:val="Policepardfaut"/>
    <w:rsid w:val="00EB75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8170421">
      <w:bodyDiv w:val="1"/>
      <w:marLeft w:val="0"/>
      <w:marRight w:val="0"/>
      <w:marTop w:val="0"/>
      <w:marBottom w:val="0"/>
      <w:divBdr>
        <w:top w:val="none" w:sz="0" w:space="0" w:color="auto"/>
        <w:left w:val="none" w:sz="0" w:space="0" w:color="auto"/>
        <w:bottom w:val="none" w:sz="0" w:space="0" w:color="auto"/>
        <w:right w:val="none" w:sz="0" w:space="0" w:color="auto"/>
      </w:divBdr>
      <w:divsChild>
        <w:div w:id="1916933997">
          <w:marLeft w:val="0"/>
          <w:marRight w:val="0"/>
          <w:marTop w:val="0"/>
          <w:marBottom w:val="0"/>
          <w:divBdr>
            <w:top w:val="none" w:sz="0" w:space="0" w:color="auto"/>
            <w:left w:val="none" w:sz="0" w:space="0" w:color="auto"/>
            <w:bottom w:val="none" w:sz="0" w:space="0" w:color="auto"/>
            <w:right w:val="none" w:sz="0" w:space="0" w:color="auto"/>
          </w:divBdr>
        </w:div>
        <w:div w:id="800076465">
          <w:marLeft w:val="0"/>
          <w:marRight w:val="0"/>
          <w:marTop w:val="225"/>
          <w:marBottom w:val="225"/>
          <w:divBdr>
            <w:top w:val="none" w:sz="0" w:space="0" w:color="auto"/>
            <w:left w:val="none" w:sz="0" w:space="0" w:color="auto"/>
            <w:bottom w:val="none" w:sz="0" w:space="0" w:color="auto"/>
            <w:right w:val="none" w:sz="0" w:space="0" w:color="auto"/>
          </w:divBdr>
          <w:divsChild>
            <w:div w:id="1209730522">
              <w:marLeft w:val="0"/>
              <w:marRight w:val="0"/>
              <w:marTop w:val="225"/>
              <w:marBottom w:val="225"/>
              <w:divBdr>
                <w:top w:val="none" w:sz="0" w:space="0" w:color="auto"/>
                <w:left w:val="none" w:sz="0" w:space="0" w:color="auto"/>
                <w:bottom w:val="none" w:sz="0" w:space="0" w:color="auto"/>
                <w:right w:val="none" w:sz="0" w:space="0" w:color="auto"/>
              </w:divBdr>
              <w:divsChild>
                <w:div w:id="1314291519">
                  <w:marLeft w:val="0"/>
                  <w:marRight w:val="0"/>
                  <w:marTop w:val="30"/>
                  <w:marBottom w:val="0"/>
                  <w:divBdr>
                    <w:top w:val="none" w:sz="0" w:space="0" w:color="auto"/>
                    <w:left w:val="none" w:sz="0" w:space="0" w:color="auto"/>
                    <w:bottom w:val="none" w:sz="0" w:space="0" w:color="auto"/>
                    <w:right w:val="none" w:sz="0" w:space="0" w:color="auto"/>
                  </w:divBdr>
                </w:div>
                <w:div w:id="1235050588">
                  <w:marLeft w:val="975"/>
                  <w:marRight w:val="0"/>
                  <w:marTop w:val="0"/>
                  <w:marBottom w:val="0"/>
                  <w:divBdr>
                    <w:top w:val="none" w:sz="0" w:space="0" w:color="auto"/>
                    <w:left w:val="none" w:sz="0" w:space="0" w:color="auto"/>
                    <w:bottom w:val="none" w:sz="0" w:space="0" w:color="auto"/>
                    <w:right w:val="none" w:sz="0" w:space="0" w:color="auto"/>
                  </w:divBdr>
                </w:div>
                <w:div w:id="1447578180">
                  <w:marLeft w:val="975"/>
                  <w:marRight w:val="0"/>
                  <w:marTop w:val="0"/>
                  <w:marBottom w:val="0"/>
                  <w:divBdr>
                    <w:top w:val="none" w:sz="0" w:space="0" w:color="auto"/>
                    <w:left w:val="none" w:sz="0" w:space="0" w:color="auto"/>
                    <w:bottom w:val="none" w:sz="0" w:space="0" w:color="auto"/>
                    <w:right w:val="none" w:sz="0" w:space="0" w:color="auto"/>
                  </w:divBdr>
                </w:div>
                <w:div w:id="1036544353">
                  <w:marLeft w:val="975"/>
                  <w:marRight w:val="0"/>
                  <w:marTop w:val="0"/>
                  <w:marBottom w:val="0"/>
                  <w:divBdr>
                    <w:top w:val="none" w:sz="0" w:space="0" w:color="auto"/>
                    <w:left w:val="none" w:sz="0" w:space="0" w:color="auto"/>
                    <w:bottom w:val="none" w:sz="0" w:space="0" w:color="auto"/>
                    <w:right w:val="none" w:sz="0" w:space="0" w:color="auto"/>
                  </w:divBdr>
                </w:div>
              </w:divsChild>
            </w:div>
            <w:div w:id="1785154068">
              <w:marLeft w:val="0"/>
              <w:marRight w:val="0"/>
              <w:marTop w:val="225"/>
              <w:marBottom w:val="225"/>
              <w:divBdr>
                <w:top w:val="none" w:sz="0" w:space="0" w:color="auto"/>
                <w:left w:val="none" w:sz="0" w:space="0" w:color="auto"/>
                <w:bottom w:val="none" w:sz="0" w:space="0" w:color="auto"/>
                <w:right w:val="none" w:sz="0" w:space="0" w:color="auto"/>
              </w:divBdr>
              <w:divsChild>
                <w:div w:id="383724804">
                  <w:marLeft w:val="0"/>
                  <w:marRight w:val="0"/>
                  <w:marTop w:val="30"/>
                  <w:marBottom w:val="0"/>
                  <w:divBdr>
                    <w:top w:val="none" w:sz="0" w:space="0" w:color="auto"/>
                    <w:left w:val="none" w:sz="0" w:space="0" w:color="auto"/>
                    <w:bottom w:val="none" w:sz="0" w:space="0" w:color="auto"/>
                    <w:right w:val="none" w:sz="0" w:space="0" w:color="auto"/>
                  </w:divBdr>
                </w:div>
                <w:div w:id="285046368">
                  <w:marLeft w:val="975"/>
                  <w:marRight w:val="0"/>
                  <w:marTop w:val="0"/>
                  <w:marBottom w:val="0"/>
                  <w:divBdr>
                    <w:top w:val="none" w:sz="0" w:space="0" w:color="auto"/>
                    <w:left w:val="none" w:sz="0" w:space="0" w:color="auto"/>
                    <w:bottom w:val="none" w:sz="0" w:space="0" w:color="auto"/>
                    <w:right w:val="none" w:sz="0" w:space="0" w:color="auto"/>
                  </w:divBdr>
                </w:div>
                <w:div w:id="2119252542">
                  <w:marLeft w:val="975"/>
                  <w:marRight w:val="0"/>
                  <w:marTop w:val="0"/>
                  <w:marBottom w:val="0"/>
                  <w:divBdr>
                    <w:top w:val="none" w:sz="0" w:space="0" w:color="auto"/>
                    <w:left w:val="none" w:sz="0" w:space="0" w:color="auto"/>
                    <w:bottom w:val="none" w:sz="0" w:space="0" w:color="auto"/>
                    <w:right w:val="none" w:sz="0" w:space="0" w:color="auto"/>
                  </w:divBdr>
                </w:div>
              </w:divsChild>
            </w:div>
            <w:div w:id="1786651570">
              <w:marLeft w:val="0"/>
              <w:marRight w:val="0"/>
              <w:marTop w:val="225"/>
              <w:marBottom w:val="225"/>
              <w:divBdr>
                <w:top w:val="none" w:sz="0" w:space="0" w:color="auto"/>
                <w:left w:val="none" w:sz="0" w:space="0" w:color="auto"/>
                <w:bottom w:val="none" w:sz="0" w:space="0" w:color="auto"/>
                <w:right w:val="none" w:sz="0" w:space="0" w:color="auto"/>
              </w:divBdr>
              <w:divsChild>
                <w:div w:id="193811551">
                  <w:marLeft w:val="0"/>
                  <w:marRight w:val="0"/>
                  <w:marTop w:val="30"/>
                  <w:marBottom w:val="0"/>
                  <w:divBdr>
                    <w:top w:val="none" w:sz="0" w:space="0" w:color="auto"/>
                    <w:left w:val="none" w:sz="0" w:space="0" w:color="auto"/>
                    <w:bottom w:val="none" w:sz="0" w:space="0" w:color="auto"/>
                    <w:right w:val="none" w:sz="0" w:space="0" w:color="auto"/>
                  </w:divBdr>
                </w:div>
                <w:div w:id="1762603954">
                  <w:marLeft w:val="975"/>
                  <w:marRight w:val="0"/>
                  <w:marTop w:val="0"/>
                  <w:marBottom w:val="0"/>
                  <w:divBdr>
                    <w:top w:val="none" w:sz="0" w:space="0" w:color="auto"/>
                    <w:left w:val="none" w:sz="0" w:space="0" w:color="auto"/>
                    <w:bottom w:val="none" w:sz="0" w:space="0" w:color="auto"/>
                    <w:right w:val="none" w:sz="0" w:space="0" w:color="auto"/>
                  </w:divBdr>
                </w:div>
                <w:div w:id="2013799045">
                  <w:marLeft w:val="975"/>
                  <w:marRight w:val="0"/>
                  <w:marTop w:val="225"/>
                  <w:marBottom w:val="225"/>
                  <w:divBdr>
                    <w:top w:val="none" w:sz="0" w:space="0" w:color="auto"/>
                    <w:left w:val="none" w:sz="0" w:space="0" w:color="auto"/>
                    <w:bottom w:val="none" w:sz="0" w:space="0" w:color="auto"/>
                    <w:right w:val="none" w:sz="0" w:space="0" w:color="auto"/>
                  </w:divBdr>
                  <w:divsChild>
                    <w:div w:id="850802144">
                      <w:blockQuote w:val="1"/>
                      <w:marLeft w:val="0"/>
                      <w:marRight w:val="0"/>
                      <w:marTop w:val="150"/>
                      <w:marBottom w:val="150"/>
                      <w:divBdr>
                        <w:top w:val="none" w:sz="0" w:space="0" w:color="auto"/>
                        <w:left w:val="none" w:sz="0" w:space="0" w:color="auto"/>
                        <w:bottom w:val="none" w:sz="0" w:space="0" w:color="auto"/>
                        <w:right w:val="none" w:sz="0" w:space="0" w:color="auto"/>
                      </w:divBdr>
                      <w:divsChild>
                        <w:div w:id="1288858547">
                          <w:marLeft w:val="0"/>
                          <w:marRight w:val="0"/>
                          <w:marTop w:val="0"/>
                          <w:marBottom w:val="0"/>
                          <w:divBdr>
                            <w:top w:val="none" w:sz="0" w:space="0" w:color="auto"/>
                            <w:left w:val="none" w:sz="0" w:space="0" w:color="auto"/>
                            <w:bottom w:val="none" w:sz="0" w:space="0" w:color="auto"/>
                            <w:right w:val="none" w:sz="0" w:space="0" w:color="auto"/>
                          </w:divBdr>
                        </w:div>
                        <w:div w:id="1778912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6252882">
              <w:marLeft w:val="0"/>
              <w:marRight w:val="0"/>
              <w:marTop w:val="225"/>
              <w:marBottom w:val="225"/>
              <w:divBdr>
                <w:top w:val="none" w:sz="0" w:space="0" w:color="auto"/>
                <w:left w:val="none" w:sz="0" w:space="0" w:color="auto"/>
                <w:bottom w:val="none" w:sz="0" w:space="0" w:color="auto"/>
                <w:right w:val="none" w:sz="0" w:space="0" w:color="auto"/>
              </w:divBdr>
              <w:divsChild>
                <w:div w:id="1957633978">
                  <w:marLeft w:val="0"/>
                  <w:marRight w:val="0"/>
                  <w:marTop w:val="30"/>
                  <w:marBottom w:val="0"/>
                  <w:divBdr>
                    <w:top w:val="none" w:sz="0" w:space="0" w:color="auto"/>
                    <w:left w:val="none" w:sz="0" w:space="0" w:color="auto"/>
                    <w:bottom w:val="none" w:sz="0" w:space="0" w:color="auto"/>
                    <w:right w:val="none" w:sz="0" w:space="0" w:color="auto"/>
                  </w:divBdr>
                </w:div>
                <w:div w:id="1007827452">
                  <w:marLeft w:val="975"/>
                  <w:marRight w:val="0"/>
                  <w:marTop w:val="0"/>
                  <w:marBottom w:val="0"/>
                  <w:divBdr>
                    <w:top w:val="none" w:sz="0" w:space="0" w:color="auto"/>
                    <w:left w:val="none" w:sz="0" w:space="0" w:color="auto"/>
                    <w:bottom w:val="none" w:sz="0" w:space="0" w:color="auto"/>
                    <w:right w:val="none" w:sz="0" w:space="0" w:color="auto"/>
                  </w:divBdr>
                </w:div>
                <w:div w:id="248732209">
                  <w:marLeft w:val="975"/>
                  <w:marRight w:val="0"/>
                  <w:marTop w:val="0"/>
                  <w:marBottom w:val="0"/>
                  <w:divBdr>
                    <w:top w:val="none" w:sz="0" w:space="0" w:color="auto"/>
                    <w:left w:val="none" w:sz="0" w:space="0" w:color="auto"/>
                    <w:bottom w:val="none" w:sz="0" w:space="0" w:color="auto"/>
                    <w:right w:val="none" w:sz="0" w:space="0" w:color="auto"/>
                  </w:divBdr>
                </w:div>
                <w:div w:id="979043151">
                  <w:marLeft w:val="975"/>
                  <w:marRight w:val="0"/>
                  <w:marTop w:val="225"/>
                  <w:marBottom w:val="225"/>
                  <w:divBdr>
                    <w:top w:val="none" w:sz="0" w:space="0" w:color="auto"/>
                    <w:left w:val="none" w:sz="0" w:space="0" w:color="auto"/>
                    <w:bottom w:val="none" w:sz="0" w:space="0" w:color="auto"/>
                    <w:right w:val="none" w:sz="0" w:space="0" w:color="auto"/>
                  </w:divBdr>
                  <w:divsChild>
                    <w:div w:id="271326355">
                      <w:blockQuote w:val="1"/>
                      <w:marLeft w:val="0"/>
                      <w:marRight w:val="0"/>
                      <w:marTop w:val="150"/>
                      <w:marBottom w:val="150"/>
                      <w:divBdr>
                        <w:top w:val="none" w:sz="0" w:space="0" w:color="auto"/>
                        <w:left w:val="none" w:sz="0" w:space="0" w:color="auto"/>
                        <w:bottom w:val="none" w:sz="0" w:space="0" w:color="auto"/>
                        <w:right w:val="none" w:sz="0" w:space="0" w:color="auto"/>
                      </w:divBdr>
                      <w:divsChild>
                        <w:div w:id="976840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95772">
          <w:marLeft w:val="0"/>
          <w:marRight w:val="0"/>
          <w:marTop w:val="225"/>
          <w:marBottom w:val="225"/>
          <w:divBdr>
            <w:top w:val="none" w:sz="0" w:space="0" w:color="auto"/>
            <w:left w:val="none" w:sz="0" w:space="0" w:color="auto"/>
            <w:bottom w:val="none" w:sz="0" w:space="0" w:color="auto"/>
            <w:right w:val="none" w:sz="0" w:space="0" w:color="auto"/>
          </w:divBdr>
          <w:divsChild>
            <w:div w:id="294261602">
              <w:marLeft w:val="0"/>
              <w:marRight w:val="0"/>
              <w:marTop w:val="225"/>
              <w:marBottom w:val="225"/>
              <w:divBdr>
                <w:top w:val="none" w:sz="0" w:space="0" w:color="auto"/>
                <w:left w:val="none" w:sz="0" w:space="0" w:color="auto"/>
                <w:bottom w:val="none" w:sz="0" w:space="0" w:color="auto"/>
                <w:right w:val="none" w:sz="0" w:space="0" w:color="auto"/>
              </w:divBdr>
              <w:divsChild>
                <w:div w:id="1178930132">
                  <w:marLeft w:val="0"/>
                  <w:marRight w:val="0"/>
                  <w:marTop w:val="30"/>
                  <w:marBottom w:val="0"/>
                  <w:divBdr>
                    <w:top w:val="none" w:sz="0" w:space="0" w:color="auto"/>
                    <w:left w:val="none" w:sz="0" w:space="0" w:color="auto"/>
                    <w:bottom w:val="none" w:sz="0" w:space="0" w:color="auto"/>
                    <w:right w:val="none" w:sz="0" w:space="0" w:color="auto"/>
                  </w:divBdr>
                </w:div>
                <w:div w:id="1299648589">
                  <w:marLeft w:val="975"/>
                  <w:marRight w:val="0"/>
                  <w:marTop w:val="0"/>
                  <w:marBottom w:val="0"/>
                  <w:divBdr>
                    <w:top w:val="none" w:sz="0" w:space="0" w:color="auto"/>
                    <w:left w:val="none" w:sz="0" w:space="0" w:color="auto"/>
                    <w:bottom w:val="none" w:sz="0" w:space="0" w:color="auto"/>
                    <w:right w:val="none" w:sz="0" w:space="0" w:color="auto"/>
                  </w:divBdr>
                </w:div>
                <w:div w:id="861012315">
                  <w:marLeft w:val="975"/>
                  <w:marRight w:val="0"/>
                  <w:marTop w:val="225"/>
                  <w:marBottom w:val="225"/>
                  <w:divBdr>
                    <w:top w:val="none" w:sz="0" w:space="0" w:color="auto"/>
                    <w:left w:val="none" w:sz="0" w:space="0" w:color="auto"/>
                    <w:bottom w:val="none" w:sz="0" w:space="0" w:color="auto"/>
                    <w:right w:val="none" w:sz="0" w:space="0" w:color="auto"/>
                  </w:divBdr>
                  <w:divsChild>
                    <w:div w:id="1367439733">
                      <w:blockQuote w:val="1"/>
                      <w:marLeft w:val="0"/>
                      <w:marRight w:val="0"/>
                      <w:marTop w:val="300"/>
                      <w:marBottom w:val="300"/>
                      <w:divBdr>
                        <w:top w:val="none" w:sz="0" w:space="0" w:color="auto"/>
                        <w:left w:val="none" w:sz="0" w:space="0" w:color="auto"/>
                        <w:bottom w:val="none" w:sz="0" w:space="0" w:color="auto"/>
                        <w:right w:val="none" w:sz="0" w:space="0" w:color="auto"/>
                      </w:divBdr>
                      <w:divsChild>
                        <w:div w:id="211431604">
                          <w:marLeft w:val="0"/>
                          <w:marRight w:val="0"/>
                          <w:marTop w:val="0"/>
                          <w:marBottom w:val="0"/>
                          <w:divBdr>
                            <w:top w:val="none" w:sz="0" w:space="0" w:color="auto"/>
                            <w:left w:val="none" w:sz="0" w:space="0" w:color="auto"/>
                            <w:bottom w:val="none" w:sz="0" w:space="0" w:color="auto"/>
                            <w:right w:val="none" w:sz="0" w:space="0" w:color="auto"/>
                          </w:divBdr>
                        </w:div>
                        <w:div w:id="2034187696">
                          <w:marLeft w:val="0"/>
                          <w:marRight w:val="0"/>
                          <w:marTop w:val="0"/>
                          <w:marBottom w:val="0"/>
                          <w:divBdr>
                            <w:top w:val="none" w:sz="0" w:space="0" w:color="auto"/>
                            <w:left w:val="none" w:sz="0" w:space="0" w:color="auto"/>
                            <w:bottom w:val="none" w:sz="0" w:space="0" w:color="auto"/>
                            <w:right w:val="none" w:sz="0" w:space="0" w:color="auto"/>
                          </w:divBdr>
                        </w:div>
                        <w:div w:id="415399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0576590">
              <w:marLeft w:val="0"/>
              <w:marRight w:val="0"/>
              <w:marTop w:val="225"/>
              <w:marBottom w:val="225"/>
              <w:divBdr>
                <w:top w:val="none" w:sz="0" w:space="0" w:color="auto"/>
                <w:left w:val="none" w:sz="0" w:space="0" w:color="auto"/>
                <w:bottom w:val="none" w:sz="0" w:space="0" w:color="auto"/>
                <w:right w:val="none" w:sz="0" w:space="0" w:color="auto"/>
              </w:divBdr>
              <w:divsChild>
                <w:div w:id="905531128">
                  <w:marLeft w:val="0"/>
                  <w:marRight w:val="0"/>
                  <w:marTop w:val="30"/>
                  <w:marBottom w:val="0"/>
                  <w:divBdr>
                    <w:top w:val="none" w:sz="0" w:space="0" w:color="auto"/>
                    <w:left w:val="none" w:sz="0" w:space="0" w:color="auto"/>
                    <w:bottom w:val="none" w:sz="0" w:space="0" w:color="auto"/>
                    <w:right w:val="none" w:sz="0" w:space="0" w:color="auto"/>
                  </w:divBdr>
                </w:div>
                <w:div w:id="647898853">
                  <w:marLeft w:val="975"/>
                  <w:marRight w:val="0"/>
                  <w:marTop w:val="0"/>
                  <w:marBottom w:val="0"/>
                  <w:divBdr>
                    <w:top w:val="none" w:sz="0" w:space="0" w:color="auto"/>
                    <w:left w:val="none" w:sz="0" w:space="0" w:color="auto"/>
                    <w:bottom w:val="none" w:sz="0" w:space="0" w:color="auto"/>
                    <w:right w:val="none" w:sz="0" w:space="0" w:color="auto"/>
                  </w:divBdr>
                </w:div>
                <w:div w:id="1255359310">
                  <w:marLeft w:val="975"/>
                  <w:marRight w:val="0"/>
                  <w:marTop w:val="225"/>
                  <w:marBottom w:val="225"/>
                  <w:divBdr>
                    <w:top w:val="none" w:sz="0" w:space="0" w:color="auto"/>
                    <w:left w:val="none" w:sz="0" w:space="0" w:color="auto"/>
                    <w:bottom w:val="none" w:sz="0" w:space="0" w:color="auto"/>
                    <w:right w:val="none" w:sz="0" w:space="0" w:color="auto"/>
                  </w:divBdr>
                  <w:divsChild>
                    <w:div w:id="712853738">
                      <w:blockQuote w:val="1"/>
                      <w:marLeft w:val="0"/>
                      <w:marRight w:val="0"/>
                      <w:marTop w:val="150"/>
                      <w:marBottom w:val="150"/>
                      <w:divBdr>
                        <w:top w:val="none" w:sz="0" w:space="0" w:color="auto"/>
                        <w:left w:val="none" w:sz="0" w:space="0" w:color="auto"/>
                        <w:bottom w:val="none" w:sz="0" w:space="0" w:color="auto"/>
                        <w:right w:val="none" w:sz="0" w:space="0" w:color="auto"/>
                      </w:divBdr>
                      <w:divsChild>
                        <w:div w:id="655188099">
                          <w:marLeft w:val="0"/>
                          <w:marRight w:val="0"/>
                          <w:marTop w:val="0"/>
                          <w:marBottom w:val="0"/>
                          <w:divBdr>
                            <w:top w:val="none" w:sz="0" w:space="0" w:color="auto"/>
                            <w:left w:val="none" w:sz="0" w:space="0" w:color="auto"/>
                            <w:bottom w:val="none" w:sz="0" w:space="0" w:color="auto"/>
                            <w:right w:val="none" w:sz="0" w:space="0" w:color="auto"/>
                          </w:divBdr>
                        </w:div>
                        <w:div w:id="651056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004798">
              <w:marLeft w:val="0"/>
              <w:marRight w:val="0"/>
              <w:marTop w:val="225"/>
              <w:marBottom w:val="225"/>
              <w:divBdr>
                <w:top w:val="none" w:sz="0" w:space="0" w:color="auto"/>
                <w:left w:val="none" w:sz="0" w:space="0" w:color="auto"/>
                <w:bottom w:val="none" w:sz="0" w:space="0" w:color="auto"/>
                <w:right w:val="none" w:sz="0" w:space="0" w:color="auto"/>
              </w:divBdr>
              <w:divsChild>
                <w:div w:id="2091653007">
                  <w:marLeft w:val="0"/>
                  <w:marRight w:val="0"/>
                  <w:marTop w:val="30"/>
                  <w:marBottom w:val="0"/>
                  <w:divBdr>
                    <w:top w:val="none" w:sz="0" w:space="0" w:color="auto"/>
                    <w:left w:val="none" w:sz="0" w:space="0" w:color="auto"/>
                    <w:bottom w:val="none" w:sz="0" w:space="0" w:color="auto"/>
                    <w:right w:val="none" w:sz="0" w:space="0" w:color="auto"/>
                  </w:divBdr>
                </w:div>
                <w:div w:id="1612125433">
                  <w:marLeft w:val="975"/>
                  <w:marRight w:val="0"/>
                  <w:marTop w:val="0"/>
                  <w:marBottom w:val="0"/>
                  <w:divBdr>
                    <w:top w:val="none" w:sz="0" w:space="0" w:color="auto"/>
                    <w:left w:val="none" w:sz="0" w:space="0" w:color="auto"/>
                    <w:bottom w:val="none" w:sz="0" w:space="0" w:color="auto"/>
                    <w:right w:val="none" w:sz="0" w:space="0" w:color="auto"/>
                  </w:divBdr>
                </w:div>
                <w:div w:id="1480685780">
                  <w:marLeft w:val="975"/>
                  <w:marRight w:val="0"/>
                  <w:marTop w:val="225"/>
                  <w:marBottom w:val="225"/>
                  <w:divBdr>
                    <w:top w:val="none" w:sz="0" w:space="0" w:color="auto"/>
                    <w:left w:val="none" w:sz="0" w:space="0" w:color="auto"/>
                    <w:bottom w:val="none" w:sz="0" w:space="0" w:color="auto"/>
                    <w:right w:val="none" w:sz="0" w:space="0" w:color="auto"/>
                  </w:divBdr>
                  <w:divsChild>
                    <w:div w:id="1367874991">
                      <w:blockQuote w:val="1"/>
                      <w:marLeft w:val="0"/>
                      <w:marRight w:val="0"/>
                      <w:marTop w:val="300"/>
                      <w:marBottom w:val="300"/>
                      <w:divBdr>
                        <w:top w:val="none" w:sz="0" w:space="0" w:color="auto"/>
                        <w:left w:val="none" w:sz="0" w:space="0" w:color="auto"/>
                        <w:bottom w:val="none" w:sz="0" w:space="0" w:color="auto"/>
                        <w:right w:val="none" w:sz="0" w:space="0" w:color="auto"/>
                      </w:divBdr>
                      <w:divsChild>
                        <w:div w:id="670181941">
                          <w:marLeft w:val="0"/>
                          <w:marRight w:val="0"/>
                          <w:marTop w:val="0"/>
                          <w:marBottom w:val="0"/>
                          <w:divBdr>
                            <w:top w:val="none" w:sz="0" w:space="0" w:color="auto"/>
                            <w:left w:val="none" w:sz="0" w:space="0" w:color="auto"/>
                            <w:bottom w:val="none" w:sz="0" w:space="0" w:color="auto"/>
                            <w:right w:val="none" w:sz="0" w:space="0" w:color="auto"/>
                          </w:divBdr>
                        </w:div>
                        <w:div w:id="1285308649">
                          <w:marLeft w:val="0"/>
                          <w:marRight w:val="0"/>
                          <w:marTop w:val="0"/>
                          <w:marBottom w:val="0"/>
                          <w:divBdr>
                            <w:top w:val="none" w:sz="0" w:space="0" w:color="auto"/>
                            <w:left w:val="none" w:sz="0" w:space="0" w:color="auto"/>
                            <w:bottom w:val="none" w:sz="0" w:space="0" w:color="auto"/>
                            <w:right w:val="none" w:sz="0" w:space="0" w:color="auto"/>
                          </w:divBdr>
                        </w:div>
                        <w:div w:id="1308778025">
                          <w:marLeft w:val="0"/>
                          <w:marRight w:val="0"/>
                          <w:marTop w:val="0"/>
                          <w:marBottom w:val="0"/>
                          <w:divBdr>
                            <w:top w:val="none" w:sz="0" w:space="0" w:color="auto"/>
                            <w:left w:val="none" w:sz="0" w:space="0" w:color="auto"/>
                            <w:bottom w:val="none" w:sz="0" w:space="0" w:color="auto"/>
                            <w:right w:val="none" w:sz="0" w:space="0" w:color="auto"/>
                          </w:divBdr>
                        </w:div>
                        <w:div w:id="1943805069">
                          <w:marLeft w:val="0"/>
                          <w:marRight w:val="0"/>
                          <w:marTop w:val="0"/>
                          <w:marBottom w:val="0"/>
                          <w:divBdr>
                            <w:top w:val="none" w:sz="0" w:space="0" w:color="auto"/>
                            <w:left w:val="none" w:sz="0" w:space="0" w:color="auto"/>
                            <w:bottom w:val="none" w:sz="0" w:space="0" w:color="auto"/>
                            <w:right w:val="none" w:sz="0" w:space="0" w:color="auto"/>
                          </w:divBdr>
                        </w:div>
                        <w:div w:id="1425766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6969288">
              <w:marLeft w:val="0"/>
              <w:marRight w:val="0"/>
              <w:marTop w:val="225"/>
              <w:marBottom w:val="225"/>
              <w:divBdr>
                <w:top w:val="none" w:sz="0" w:space="0" w:color="auto"/>
                <w:left w:val="none" w:sz="0" w:space="0" w:color="auto"/>
                <w:bottom w:val="none" w:sz="0" w:space="0" w:color="auto"/>
                <w:right w:val="none" w:sz="0" w:space="0" w:color="auto"/>
              </w:divBdr>
              <w:divsChild>
                <w:div w:id="421220475">
                  <w:marLeft w:val="0"/>
                  <w:marRight w:val="0"/>
                  <w:marTop w:val="30"/>
                  <w:marBottom w:val="0"/>
                  <w:divBdr>
                    <w:top w:val="none" w:sz="0" w:space="0" w:color="auto"/>
                    <w:left w:val="none" w:sz="0" w:space="0" w:color="auto"/>
                    <w:bottom w:val="none" w:sz="0" w:space="0" w:color="auto"/>
                    <w:right w:val="none" w:sz="0" w:space="0" w:color="auto"/>
                  </w:divBdr>
                </w:div>
                <w:div w:id="589118048">
                  <w:marLeft w:val="975"/>
                  <w:marRight w:val="0"/>
                  <w:marTop w:val="0"/>
                  <w:marBottom w:val="0"/>
                  <w:divBdr>
                    <w:top w:val="none" w:sz="0" w:space="0" w:color="auto"/>
                    <w:left w:val="none" w:sz="0" w:space="0" w:color="auto"/>
                    <w:bottom w:val="none" w:sz="0" w:space="0" w:color="auto"/>
                    <w:right w:val="none" w:sz="0" w:space="0" w:color="auto"/>
                  </w:divBdr>
                </w:div>
                <w:div w:id="545946947">
                  <w:marLeft w:val="975"/>
                  <w:marRight w:val="0"/>
                  <w:marTop w:val="225"/>
                  <w:marBottom w:val="225"/>
                  <w:divBdr>
                    <w:top w:val="none" w:sz="0" w:space="0" w:color="auto"/>
                    <w:left w:val="none" w:sz="0" w:space="0" w:color="auto"/>
                    <w:bottom w:val="none" w:sz="0" w:space="0" w:color="auto"/>
                    <w:right w:val="none" w:sz="0" w:space="0" w:color="auto"/>
                  </w:divBdr>
                  <w:divsChild>
                    <w:div w:id="722943858">
                      <w:blockQuote w:val="1"/>
                      <w:marLeft w:val="0"/>
                      <w:marRight w:val="0"/>
                      <w:marTop w:val="300"/>
                      <w:marBottom w:val="300"/>
                      <w:divBdr>
                        <w:top w:val="none" w:sz="0" w:space="0" w:color="auto"/>
                        <w:left w:val="none" w:sz="0" w:space="0" w:color="auto"/>
                        <w:bottom w:val="none" w:sz="0" w:space="0" w:color="auto"/>
                        <w:right w:val="none" w:sz="0" w:space="0" w:color="auto"/>
                      </w:divBdr>
                      <w:divsChild>
                        <w:div w:id="116336147">
                          <w:marLeft w:val="0"/>
                          <w:marRight w:val="0"/>
                          <w:marTop w:val="0"/>
                          <w:marBottom w:val="0"/>
                          <w:divBdr>
                            <w:top w:val="none" w:sz="0" w:space="0" w:color="auto"/>
                            <w:left w:val="none" w:sz="0" w:space="0" w:color="auto"/>
                            <w:bottom w:val="none" w:sz="0" w:space="0" w:color="auto"/>
                            <w:right w:val="none" w:sz="0" w:space="0" w:color="auto"/>
                          </w:divBdr>
                        </w:div>
                        <w:div w:id="985089495">
                          <w:marLeft w:val="0"/>
                          <w:marRight w:val="0"/>
                          <w:marTop w:val="0"/>
                          <w:marBottom w:val="0"/>
                          <w:divBdr>
                            <w:top w:val="none" w:sz="0" w:space="0" w:color="auto"/>
                            <w:left w:val="none" w:sz="0" w:space="0" w:color="auto"/>
                            <w:bottom w:val="none" w:sz="0" w:space="0" w:color="auto"/>
                            <w:right w:val="none" w:sz="0" w:space="0" w:color="auto"/>
                          </w:divBdr>
                        </w:div>
                        <w:div w:id="1689134030">
                          <w:marLeft w:val="0"/>
                          <w:marRight w:val="0"/>
                          <w:marTop w:val="0"/>
                          <w:marBottom w:val="0"/>
                          <w:divBdr>
                            <w:top w:val="none" w:sz="0" w:space="0" w:color="auto"/>
                            <w:left w:val="none" w:sz="0" w:space="0" w:color="auto"/>
                            <w:bottom w:val="none" w:sz="0" w:space="0" w:color="auto"/>
                            <w:right w:val="none" w:sz="0" w:space="0" w:color="auto"/>
                          </w:divBdr>
                        </w:div>
                        <w:div w:id="624121749">
                          <w:marLeft w:val="0"/>
                          <w:marRight w:val="0"/>
                          <w:marTop w:val="0"/>
                          <w:marBottom w:val="0"/>
                          <w:divBdr>
                            <w:top w:val="none" w:sz="0" w:space="0" w:color="auto"/>
                            <w:left w:val="none" w:sz="0" w:space="0" w:color="auto"/>
                            <w:bottom w:val="none" w:sz="0" w:space="0" w:color="auto"/>
                            <w:right w:val="none" w:sz="0" w:space="0" w:color="auto"/>
                          </w:divBdr>
                        </w:div>
                        <w:div w:id="596140010">
                          <w:marLeft w:val="0"/>
                          <w:marRight w:val="0"/>
                          <w:marTop w:val="0"/>
                          <w:marBottom w:val="0"/>
                          <w:divBdr>
                            <w:top w:val="none" w:sz="0" w:space="0" w:color="auto"/>
                            <w:left w:val="none" w:sz="0" w:space="0" w:color="auto"/>
                            <w:bottom w:val="none" w:sz="0" w:space="0" w:color="auto"/>
                            <w:right w:val="none" w:sz="0" w:space="0" w:color="auto"/>
                          </w:divBdr>
                        </w:div>
                        <w:div w:id="968438451">
                          <w:marLeft w:val="0"/>
                          <w:marRight w:val="0"/>
                          <w:marTop w:val="0"/>
                          <w:marBottom w:val="0"/>
                          <w:divBdr>
                            <w:top w:val="none" w:sz="0" w:space="0" w:color="auto"/>
                            <w:left w:val="none" w:sz="0" w:space="0" w:color="auto"/>
                            <w:bottom w:val="none" w:sz="0" w:space="0" w:color="auto"/>
                            <w:right w:val="none" w:sz="0" w:space="0" w:color="auto"/>
                          </w:divBdr>
                        </w:div>
                        <w:div w:id="343559027">
                          <w:marLeft w:val="0"/>
                          <w:marRight w:val="0"/>
                          <w:marTop w:val="0"/>
                          <w:marBottom w:val="0"/>
                          <w:divBdr>
                            <w:top w:val="none" w:sz="0" w:space="0" w:color="auto"/>
                            <w:left w:val="none" w:sz="0" w:space="0" w:color="auto"/>
                            <w:bottom w:val="none" w:sz="0" w:space="0" w:color="auto"/>
                            <w:right w:val="none" w:sz="0" w:space="0" w:color="auto"/>
                          </w:divBdr>
                        </w:div>
                        <w:div w:id="515733240">
                          <w:marLeft w:val="0"/>
                          <w:marRight w:val="0"/>
                          <w:marTop w:val="0"/>
                          <w:marBottom w:val="0"/>
                          <w:divBdr>
                            <w:top w:val="none" w:sz="0" w:space="0" w:color="auto"/>
                            <w:left w:val="none" w:sz="0" w:space="0" w:color="auto"/>
                            <w:bottom w:val="none" w:sz="0" w:space="0" w:color="auto"/>
                            <w:right w:val="none" w:sz="0" w:space="0" w:color="auto"/>
                          </w:divBdr>
                        </w:div>
                        <w:div w:id="1011882417">
                          <w:marLeft w:val="0"/>
                          <w:marRight w:val="0"/>
                          <w:marTop w:val="0"/>
                          <w:marBottom w:val="0"/>
                          <w:divBdr>
                            <w:top w:val="none" w:sz="0" w:space="0" w:color="auto"/>
                            <w:left w:val="none" w:sz="0" w:space="0" w:color="auto"/>
                            <w:bottom w:val="none" w:sz="0" w:space="0" w:color="auto"/>
                            <w:right w:val="none" w:sz="0" w:space="0" w:color="auto"/>
                          </w:divBdr>
                        </w:div>
                        <w:div w:id="905073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6603230">
              <w:marLeft w:val="0"/>
              <w:marRight w:val="0"/>
              <w:marTop w:val="225"/>
              <w:marBottom w:val="225"/>
              <w:divBdr>
                <w:top w:val="none" w:sz="0" w:space="0" w:color="auto"/>
                <w:left w:val="none" w:sz="0" w:space="0" w:color="auto"/>
                <w:bottom w:val="none" w:sz="0" w:space="0" w:color="auto"/>
                <w:right w:val="none" w:sz="0" w:space="0" w:color="auto"/>
              </w:divBdr>
              <w:divsChild>
                <w:div w:id="310251160">
                  <w:marLeft w:val="0"/>
                  <w:marRight w:val="0"/>
                  <w:marTop w:val="30"/>
                  <w:marBottom w:val="0"/>
                  <w:divBdr>
                    <w:top w:val="none" w:sz="0" w:space="0" w:color="auto"/>
                    <w:left w:val="none" w:sz="0" w:space="0" w:color="auto"/>
                    <w:bottom w:val="none" w:sz="0" w:space="0" w:color="auto"/>
                    <w:right w:val="none" w:sz="0" w:space="0" w:color="auto"/>
                  </w:divBdr>
                </w:div>
                <w:div w:id="1542743582">
                  <w:marLeft w:val="975"/>
                  <w:marRight w:val="0"/>
                  <w:marTop w:val="0"/>
                  <w:marBottom w:val="0"/>
                  <w:divBdr>
                    <w:top w:val="none" w:sz="0" w:space="0" w:color="auto"/>
                    <w:left w:val="none" w:sz="0" w:space="0" w:color="auto"/>
                    <w:bottom w:val="none" w:sz="0" w:space="0" w:color="auto"/>
                    <w:right w:val="none" w:sz="0" w:space="0" w:color="auto"/>
                  </w:divBdr>
                </w:div>
              </w:divsChild>
            </w:div>
          </w:divsChild>
        </w:div>
        <w:div w:id="212036369">
          <w:marLeft w:val="0"/>
          <w:marRight w:val="0"/>
          <w:marTop w:val="225"/>
          <w:marBottom w:val="225"/>
          <w:divBdr>
            <w:top w:val="none" w:sz="0" w:space="0" w:color="auto"/>
            <w:left w:val="none" w:sz="0" w:space="0" w:color="auto"/>
            <w:bottom w:val="none" w:sz="0" w:space="0" w:color="auto"/>
            <w:right w:val="none" w:sz="0" w:space="0" w:color="auto"/>
          </w:divBdr>
          <w:divsChild>
            <w:div w:id="471678148">
              <w:marLeft w:val="0"/>
              <w:marRight w:val="0"/>
              <w:marTop w:val="225"/>
              <w:marBottom w:val="225"/>
              <w:divBdr>
                <w:top w:val="none" w:sz="0" w:space="0" w:color="auto"/>
                <w:left w:val="none" w:sz="0" w:space="0" w:color="auto"/>
                <w:bottom w:val="none" w:sz="0" w:space="0" w:color="auto"/>
                <w:right w:val="none" w:sz="0" w:space="0" w:color="auto"/>
              </w:divBdr>
              <w:divsChild>
                <w:div w:id="718749675">
                  <w:marLeft w:val="0"/>
                  <w:marRight w:val="0"/>
                  <w:marTop w:val="225"/>
                  <w:marBottom w:val="225"/>
                  <w:divBdr>
                    <w:top w:val="none" w:sz="0" w:space="0" w:color="auto"/>
                    <w:left w:val="none" w:sz="0" w:space="0" w:color="auto"/>
                    <w:bottom w:val="none" w:sz="0" w:space="0" w:color="auto"/>
                    <w:right w:val="none" w:sz="0" w:space="0" w:color="auto"/>
                  </w:divBdr>
                  <w:divsChild>
                    <w:div w:id="191262387">
                      <w:marLeft w:val="0"/>
                      <w:marRight w:val="0"/>
                      <w:marTop w:val="30"/>
                      <w:marBottom w:val="0"/>
                      <w:divBdr>
                        <w:top w:val="none" w:sz="0" w:space="0" w:color="auto"/>
                        <w:left w:val="none" w:sz="0" w:space="0" w:color="auto"/>
                        <w:bottom w:val="none" w:sz="0" w:space="0" w:color="auto"/>
                        <w:right w:val="none" w:sz="0" w:space="0" w:color="auto"/>
                      </w:divBdr>
                    </w:div>
                    <w:div w:id="1990209547">
                      <w:marLeft w:val="975"/>
                      <w:marRight w:val="0"/>
                      <w:marTop w:val="0"/>
                      <w:marBottom w:val="0"/>
                      <w:divBdr>
                        <w:top w:val="none" w:sz="0" w:space="0" w:color="auto"/>
                        <w:left w:val="none" w:sz="0" w:space="0" w:color="auto"/>
                        <w:bottom w:val="none" w:sz="0" w:space="0" w:color="auto"/>
                        <w:right w:val="none" w:sz="0" w:space="0" w:color="auto"/>
                      </w:divBdr>
                    </w:div>
                    <w:div w:id="384450228">
                      <w:marLeft w:val="975"/>
                      <w:marRight w:val="0"/>
                      <w:marTop w:val="225"/>
                      <w:marBottom w:val="225"/>
                      <w:divBdr>
                        <w:top w:val="none" w:sz="0" w:space="0" w:color="auto"/>
                        <w:left w:val="none" w:sz="0" w:space="0" w:color="auto"/>
                        <w:bottom w:val="none" w:sz="0" w:space="0" w:color="auto"/>
                        <w:right w:val="none" w:sz="0" w:space="0" w:color="auto"/>
                      </w:divBdr>
                      <w:divsChild>
                        <w:div w:id="1647778768">
                          <w:blockQuote w:val="1"/>
                          <w:marLeft w:val="0"/>
                          <w:marRight w:val="0"/>
                          <w:marTop w:val="300"/>
                          <w:marBottom w:val="300"/>
                          <w:divBdr>
                            <w:top w:val="none" w:sz="0" w:space="0" w:color="auto"/>
                            <w:left w:val="none" w:sz="0" w:space="0" w:color="auto"/>
                            <w:bottom w:val="none" w:sz="0" w:space="0" w:color="auto"/>
                            <w:right w:val="none" w:sz="0" w:space="0" w:color="auto"/>
                          </w:divBdr>
                          <w:divsChild>
                            <w:div w:id="491988252">
                              <w:marLeft w:val="0"/>
                              <w:marRight w:val="0"/>
                              <w:marTop w:val="0"/>
                              <w:marBottom w:val="0"/>
                              <w:divBdr>
                                <w:top w:val="none" w:sz="0" w:space="0" w:color="auto"/>
                                <w:left w:val="none" w:sz="0" w:space="0" w:color="auto"/>
                                <w:bottom w:val="none" w:sz="0" w:space="0" w:color="auto"/>
                                <w:right w:val="none" w:sz="0" w:space="0" w:color="auto"/>
                              </w:divBdr>
                            </w:div>
                            <w:div w:id="619916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4689893">
                  <w:marLeft w:val="0"/>
                  <w:marRight w:val="0"/>
                  <w:marTop w:val="225"/>
                  <w:marBottom w:val="225"/>
                  <w:divBdr>
                    <w:top w:val="none" w:sz="0" w:space="0" w:color="auto"/>
                    <w:left w:val="none" w:sz="0" w:space="0" w:color="auto"/>
                    <w:bottom w:val="none" w:sz="0" w:space="0" w:color="auto"/>
                    <w:right w:val="none" w:sz="0" w:space="0" w:color="auto"/>
                  </w:divBdr>
                  <w:divsChild>
                    <w:div w:id="1031801761">
                      <w:marLeft w:val="0"/>
                      <w:marRight w:val="0"/>
                      <w:marTop w:val="30"/>
                      <w:marBottom w:val="0"/>
                      <w:divBdr>
                        <w:top w:val="none" w:sz="0" w:space="0" w:color="auto"/>
                        <w:left w:val="none" w:sz="0" w:space="0" w:color="auto"/>
                        <w:bottom w:val="none" w:sz="0" w:space="0" w:color="auto"/>
                        <w:right w:val="none" w:sz="0" w:space="0" w:color="auto"/>
                      </w:divBdr>
                    </w:div>
                    <w:div w:id="419837711">
                      <w:marLeft w:val="975"/>
                      <w:marRight w:val="0"/>
                      <w:marTop w:val="0"/>
                      <w:marBottom w:val="0"/>
                      <w:divBdr>
                        <w:top w:val="none" w:sz="0" w:space="0" w:color="auto"/>
                        <w:left w:val="none" w:sz="0" w:space="0" w:color="auto"/>
                        <w:bottom w:val="none" w:sz="0" w:space="0" w:color="auto"/>
                        <w:right w:val="none" w:sz="0" w:space="0" w:color="auto"/>
                      </w:divBdr>
                    </w:div>
                    <w:div w:id="1386636804">
                      <w:marLeft w:val="975"/>
                      <w:marRight w:val="0"/>
                      <w:marTop w:val="0"/>
                      <w:marBottom w:val="0"/>
                      <w:divBdr>
                        <w:top w:val="none" w:sz="0" w:space="0" w:color="auto"/>
                        <w:left w:val="none" w:sz="0" w:space="0" w:color="auto"/>
                        <w:bottom w:val="none" w:sz="0" w:space="0" w:color="auto"/>
                        <w:right w:val="none" w:sz="0" w:space="0" w:color="auto"/>
                      </w:divBdr>
                    </w:div>
                  </w:divsChild>
                </w:div>
              </w:divsChild>
            </w:div>
            <w:div w:id="443810528">
              <w:marLeft w:val="0"/>
              <w:marRight w:val="0"/>
              <w:marTop w:val="225"/>
              <w:marBottom w:val="225"/>
              <w:divBdr>
                <w:top w:val="none" w:sz="0" w:space="0" w:color="auto"/>
                <w:left w:val="none" w:sz="0" w:space="0" w:color="auto"/>
                <w:bottom w:val="none" w:sz="0" w:space="0" w:color="auto"/>
                <w:right w:val="none" w:sz="0" w:space="0" w:color="auto"/>
              </w:divBdr>
              <w:divsChild>
                <w:div w:id="1110976702">
                  <w:marLeft w:val="0"/>
                  <w:marRight w:val="0"/>
                  <w:marTop w:val="30"/>
                  <w:marBottom w:val="0"/>
                  <w:divBdr>
                    <w:top w:val="none" w:sz="0" w:space="0" w:color="auto"/>
                    <w:left w:val="none" w:sz="0" w:space="0" w:color="auto"/>
                    <w:bottom w:val="none" w:sz="0" w:space="0" w:color="auto"/>
                    <w:right w:val="none" w:sz="0" w:space="0" w:color="auto"/>
                  </w:divBdr>
                </w:div>
                <w:div w:id="590551107">
                  <w:marLeft w:val="975"/>
                  <w:marRight w:val="0"/>
                  <w:marTop w:val="0"/>
                  <w:marBottom w:val="0"/>
                  <w:divBdr>
                    <w:top w:val="none" w:sz="0" w:space="0" w:color="auto"/>
                    <w:left w:val="none" w:sz="0" w:space="0" w:color="auto"/>
                    <w:bottom w:val="none" w:sz="0" w:space="0" w:color="auto"/>
                    <w:right w:val="none" w:sz="0" w:space="0" w:color="auto"/>
                  </w:divBdr>
                </w:div>
                <w:div w:id="494732526">
                  <w:marLeft w:val="975"/>
                  <w:marRight w:val="0"/>
                  <w:marTop w:val="225"/>
                  <w:marBottom w:val="225"/>
                  <w:divBdr>
                    <w:top w:val="none" w:sz="0" w:space="0" w:color="auto"/>
                    <w:left w:val="none" w:sz="0" w:space="0" w:color="auto"/>
                    <w:bottom w:val="none" w:sz="0" w:space="0" w:color="auto"/>
                    <w:right w:val="none" w:sz="0" w:space="0" w:color="auto"/>
                  </w:divBdr>
                  <w:divsChild>
                    <w:div w:id="6837274">
                      <w:blockQuote w:val="1"/>
                      <w:marLeft w:val="0"/>
                      <w:marRight w:val="0"/>
                      <w:marTop w:val="150"/>
                      <w:marBottom w:val="150"/>
                      <w:divBdr>
                        <w:top w:val="none" w:sz="0" w:space="0" w:color="auto"/>
                        <w:left w:val="none" w:sz="0" w:space="0" w:color="auto"/>
                        <w:bottom w:val="none" w:sz="0" w:space="0" w:color="auto"/>
                        <w:right w:val="none" w:sz="0" w:space="0" w:color="auto"/>
                      </w:divBdr>
                      <w:divsChild>
                        <w:div w:id="116912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5388502">
              <w:marLeft w:val="0"/>
              <w:marRight w:val="0"/>
              <w:marTop w:val="225"/>
              <w:marBottom w:val="225"/>
              <w:divBdr>
                <w:top w:val="none" w:sz="0" w:space="0" w:color="auto"/>
                <w:left w:val="none" w:sz="0" w:space="0" w:color="auto"/>
                <w:bottom w:val="none" w:sz="0" w:space="0" w:color="auto"/>
                <w:right w:val="none" w:sz="0" w:space="0" w:color="auto"/>
              </w:divBdr>
              <w:divsChild>
                <w:div w:id="1009911702">
                  <w:marLeft w:val="0"/>
                  <w:marRight w:val="0"/>
                  <w:marTop w:val="225"/>
                  <w:marBottom w:val="225"/>
                  <w:divBdr>
                    <w:top w:val="none" w:sz="0" w:space="0" w:color="auto"/>
                    <w:left w:val="none" w:sz="0" w:space="0" w:color="auto"/>
                    <w:bottom w:val="none" w:sz="0" w:space="0" w:color="auto"/>
                    <w:right w:val="none" w:sz="0" w:space="0" w:color="auto"/>
                  </w:divBdr>
                  <w:divsChild>
                    <w:div w:id="1712610212">
                      <w:marLeft w:val="0"/>
                      <w:marRight w:val="0"/>
                      <w:marTop w:val="30"/>
                      <w:marBottom w:val="0"/>
                      <w:divBdr>
                        <w:top w:val="none" w:sz="0" w:space="0" w:color="auto"/>
                        <w:left w:val="none" w:sz="0" w:space="0" w:color="auto"/>
                        <w:bottom w:val="none" w:sz="0" w:space="0" w:color="auto"/>
                        <w:right w:val="none" w:sz="0" w:space="0" w:color="auto"/>
                      </w:divBdr>
                    </w:div>
                    <w:div w:id="1382972031">
                      <w:marLeft w:val="975"/>
                      <w:marRight w:val="0"/>
                      <w:marTop w:val="0"/>
                      <w:marBottom w:val="0"/>
                      <w:divBdr>
                        <w:top w:val="none" w:sz="0" w:space="0" w:color="auto"/>
                        <w:left w:val="none" w:sz="0" w:space="0" w:color="auto"/>
                        <w:bottom w:val="none" w:sz="0" w:space="0" w:color="auto"/>
                        <w:right w:val="none" w:sz="0" w:space="0" w:color="auto"/>
                      </w:divBdr>
                    </w:div>
                    <w:div w:id="228856011">
                      <w:marLeft w:val="975"/>
                      <w:marRight w:val="0"/>
                      <w:marTop w:val="225"/>
                      <w:marBottom w:val="225"/>
                      <w:divBdr>
                        <w:top w:val="none" w:sz="0" w:space="0" w:color="auto"/>
                        <w:left w:val="none" w:sz="0" w:space="0" w:color="auto"/>
                        <w:bottom w:val="none" w:sz="0" w:space="0" w:color="auto"/>
                        <w:right w:val="none" w:sz="0" w:space="0" w:color="auto"/>
                      </w:divBdr>
                      <w:divsChild>
                        <w:div w:id="1821337584">
                          <w:blockQuote w:val="1"/>
                          <w:marLeft w:val="0"/>
                          <w:marRight w:val="0"/>
                          <w:marTop w:val="300"/>
                          <w:marBottom w:val="300"/>
                          <w:divBdr>
                            <w:top w:val="none" w:sz="0" w:space="0" w:color="auto"/>
                            <w:left w:val="none" w:sz="0" w:space="0" w:color="auto"/>
                            <w:bottom w:val="none" w:sz="0" w:space="0" w:color="auto"/>
                            <w:right w:val="none" w:sz="0" w:space="0" w:color="auto"/>
                          </w:divBdr>
                          <w:divsChild>
                            <w:div w:id="1170485005">
                              <w:marLeft w:val="0"/>
                              <w:marRight w:val="0"/>
                              <w:marTop w:val="0"/>
                              <w:marBottom w:val="0"/>
                              <w:divBdr>
                                <w:top w:val="none" w:sz="0" w:space="0" w:color="auto"/>
                                <w:left w:val="none" w:sz="0" w:space="0" w:color="auto"/>
                                <w:bottom w:val="none" w:sz="0" w:space="0" w:color="auto"/>
                                <w:right w:val="none" w:sz="0" w:space="0" w:color="auto"/>
                              </w:divBdr>
                            </w:div>
                            <w:div w:id="597837679">
                              <w:marLeft w:val="0"/>
                              <w:marRight w:val="0"/>
                              <w:marTop w:val="0"/>
                              <w:marBottom w:val="0"/>
                              <w:divBdr>
                                <w:top w:val="none" w:sz="0" w:space="0" w:color="auto"/>
                                <w:left w:val="none" w:sz="0" w:space="0" w:color="auto"/>
                                <w:bottom w:val="none" w:sz="0" w:space="0" w:color="auto"/>
                                <w:right w:val="none" w:sz="0" w:space="0" w:color="auto"/>
                              </w:divBdr>
                            </w:div>
                            <w:div w:id="440295749">
                              <w:marLeft w:val="0"/>
                              <w:marRight w:val="0"/>
                              <w:marTop w:val="0"/>
                              <w:marBottom w:val="0"/>
                              <w:divBdr>
                                <w:top w:val="none" w:sz="0" w:space="0" w:color="auto"/>
                                <w:left w:val="none" w:sz="0" w:space="0" w:color="auto"/>
                                <w:bottom w:val="none" w:sz="0" w:space="0" w:color="auto"/>
                                <w:right w:val="none" w:sz="0" w:space="0" w:color="auto"/>
                              </w:divBdr>
                            </w:div>
                            <w:div w:id="1175995553">
                              <w:marLeft w:val="0"/>
                              <w:marRight w:val="0"/>
                              <w:marTop w:val="0"/>
                              <w:marBottom w:val="0"/>
                              <w:divBdr>
                                <w:top w:val="none" w:sz="0" w:space="0" w:color="auto"/>
                                <w:left w:val="none" w:sz="0" w:space="0" w:color="auto"/>
                                <w:bottom w:val="none" w:sz="0" w:space="0" w:color="auto"/>
                                <w:right w:val="none" w:sz="0" w:space="0" w:color="auto"/>
                              </w:divBdr>
                            </w:div>
                            <w:div w:id="1623538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727298">
                  <w:marLeft w:val="0"/>
                  <w:marRight w:val="0"/>
                  <w:marTop w:val="225"/>
                  <w:marBottom w:val="225"/>
                  <w:divBdr>
                    <w:top w:val="none" w:sz="0" w:space="0" w:color="auto"/>
                    <w:left w:val="none" w:sz="0" w:space="0" w:color="auto"/>
                    <w:bottom w:val="none" w:sz="0" w:space="0" w:color="auto"/>
                    <w:right w:val="none" w:sz="0" w:space="0" w:color="auto"/>
                  </w:divBdr>
                  <w:divsChild>
                    <w:div w:id="445999550">
                      <w:marLeft w:val="0"/>
                      <w:marRight w:val="0"/>
                      <w:marTop w:val="30"/>
                      <w:marBottom w:val="0"/>
                      <w:divBdr>
                        <w:top w:val="none" w:sz="0" w:space="0" w:color="auto"/>
                        <w:left w:val="none" w:sz="0" w:space="0" w:color="auto"/>
                        <w:bottom w:val="none" w:sz="0" w:space="0" w:color="auto"/>
                        <w:right w:val="none" w:sz="0" w:space="0" w:color="auto"/>
                      </w:divBdr>
                    </w:div>
                    <w:div w:id="1341352762">
                      <w:marLeft w:val="975"/>
                      <w:marRight w:val="0"/>
                      <w:marTop w:val="0"/>
                      <w:marBottom w:val="0"/>
                      <w:divBdr>
                        <w:top w:val="none" w:sz="0" w:space="0" w:color="auto"/>
                        <w:left w:val="none" w:sz="0" w:space="0" w:color="auto"/>
                        <w:bottom w:val="none" w:sz="0" w:space="0" w:color="auto"/>
                        <w:right w:val="none" w:sz="0" w:space="0" w:color="auto"/>
                      </w:divBdr>
                    </w:div>
                    <w:div w:id="816335878">
                      <w:marLeft w:val="975"/>
                      <w:marRight w:val="0"/>
                      <w:marTop w:val="0"/>
                      <w:marBottom w:val="0"/>
                      <w:divBdr>
                        <w:top w:val="none" w:sz="0" w:space="0" w:color="auto"/>
                        <w:left w:val="none" w:sz="0" w:space="0" w:color="auto"/>
                        <w:bottom w:val="none" w:sz="0" w:space="0" w:color="auto"/>
                        <w:right w:val="none" w:sz="0" w:space="0" w:color="auto"/>
                      </w:divBdr>
                    </w:div>
                    <w:div w:id="477888555">
                      <w:marLeft w:val="975"/>
                      <w:marRight w:val="0"/>
                      <w:marTop w:val="0"/>
                      <w:marBottom w:val="0"/>
                      <w:divBdr>
                        <w:top w:val="none" w:sz="0" w:space="0" w:color="auto"/>
                        <w:left w:val="none" w:sz="0" w:space="0" w:color="auto"/>
                        <w:bottom w:val="none" w:sz="0" w:space="0" w:color="auto"/>
                        <w:right w:val="none" w:sz="0" w:space="0" w:color="auto"/>
                      </w:divBdr>
                    </w:div>
                    <w:div w:id="71123613">
                      <w:marLeft w:val="975"/>
                      <w:marRight w:val="0"/>
                      <w:marTop w:val="0"/>
                      <w:marBottom w:val="0"/>
                      <w:divBdr>
                        <w:top w:val="none" w:sz="0" w:space="0" w:color="auto"/>
                        <w:left w:val="none" w:sz="0" w:space="0" w:color="auto"/>
                        <w:bottom w:val="none" w:sz="0" w:space="0" w:color="auto"/>
                        <w:right w:val="none" w:sz="0" w:space="0" w:color="auto"/>
                      </w:divBdr>
                    </w:div>
                    <w:div w:id="611979754">
                      <w:marLeft w:val="975"/>
                      <w:marRight w:val="0"/>
                      <w:marTop w:val="0"/>
                      <w:marBottom w:val="0"/>
                      <w:divBdr>
                        <w:top w:val="none" w:sz="0" w:space="0" w:color="auto"/>
                        <w:left w:val="none" w:sz="0" w:space="0" w:color="auto"/>
                        <w:bottom w:val="none" w:sz="0" w:space="0" w:color="auto"/>
                        <w:right w:val="none" w:sz="0" w:space="0" w:color="auto"/>
                      </w:divBdr>
                    </w:div>
                    <w:div w:id="1537083086">
                      <w:marLeft w:val="975"/>
                      <w:marRight w:val="0"/>
                      <w:marTop w:val="0"/>
                      <w:marBottom w:val="0"/>
                      <w:divBdr>
                        <w:top w:val="none" w:sz="0" w:space="0" w:color="auto"/>
                        <w:left w:val="none" w:sz="0" w:space="0" w:color="auto"/>
                        <w:bottom w:val="none" w:sz="0" w:space="0" w:color="auto"/>
                        <w:right w:val="none" w:sz="0" w:space="0" w:color="auto"/>
                      </w:divBdr>
                    </w:div>
                    <w:div w:id="86197841">
                      <w:marLeft w:val="975"/>
                      <w:marRight w:val="0"/>
                      <w:marTop w:val="225"/>
                      <w:marBottom w:val="225"/>
                      <w:divBdr>
                        <w:top w:val="none" w:sz="0" w:space="0" w:color="auto"/>
                        <w:left w:val="none" w:sz="0" w:space="0" w:color="auto"/>
                        <w:bottom w:val="none" w:sz="0" w:space="0" w:color="auto"/>
                        <w:right w:val="none" w:sz="0" w:space="0" w:color="auto"/>
                      </w:divBdr>
                      <w:divsChild>
                        <w:div w:id="1389573277">
                          <w:blockQuote w:val="1"/>
                          <w:marLeft w:val="0"/>
                          <w:marRight w:val="0"/>
                          <w:marTop w:val="300"/>
                          <w:marBottom w:val="300"/>
                          <w:divBdr>
                            <w:top w:val="none" w:sz="0" w:space="0" w:color="auto"/>
                            <w:left w:val="none" w:sz="0" w:space="0" w:color="auto"/>
                            <w:bottom w:val="none" w:sz="0" w:space="0" w:color="auto"/>
                            <w:right w:val="none" w:sz="0" w:space="0" w:color="auto"/>
                          </w:divBdr>
                          <w:divsChild>
                            <w:div w:id="981350289">
                              <w:marLeft w:val="0"/>
                              <w:marRight w:val="0"/>
                              <w:marTop w:val="0"/>
                              <w:marBottom w:val="0"/>
                              <w:divBdr>
                                <w:top w:val="none" w:sz="0" w:space="0" w:color="auto"/>
                                <w:left w:val="none" w:sz="0" w:space="0" w:color="auto"/>
                                <w:bottom w:val="none" w:sz="0" w:space="0" w:color="auto"/>
                                <w:right w:val="none" w:sz="0" w:space="0" w:color="auto"/>
                              </w:divBdr>
                            </w:div>
                            <w:div w:id="1063674959">
                              <w:marLeft w:val="0"/>
                              <w:marRight w:val="0"/>
                              <w:marTop w:val="0"/>
                              <w:marBottom w:val="0"/>
                              <w:divBdr>
                                <w:top w:val="none" w:sz="0" w:space="0" w:color="auto"/>
                                <w:left w:val="none" w:sz="0" w:space="0" w:color="auto"/>
                                <w:bottom w:val="none" w:sz="0" w:space="0" w:color="auto"/>
                                <w:right w:val="none" w:sz="0" w:space="0" w:color="auto"/>
                              </w:divBdr>
                            </w:div>
                            <w:div w:id="1131023180">
                              <w:marLeft w:val="0"/>
                              <w:marRight w:val="0"/>
                              <w:marTop w:val="0"/>
                              <w:marBottom w:val="0"/>
                              <w:divBdr>
                                <w:top w:val="none" w:sz="0" w:space="0" w:color="auto"/>
                                <w:left w:val="none" w:sz="0" w:space="0" w:color="auto"/>
                                <w:bottom w:val="none" w:sz="0" w:space="0" w:color="auto"/>
                                <w:right w:val="none" w:sz="0" w:space="0" w:color="auto"/>
                              </w:divBdr>
                            </w:div>
                            <w:div w:id="1574244245">
                              <w:marLeft w:val="0"/>
                              <w:marRight w:val="0"/>
                              <w:marTop w:val="0"/>
                              <w:marBottom w:val="0"/>
                              <w:divBdr>
                                <w:top w:val="none" w:sz="0" w:space="0" w:color="auto"/>
                                <w:left w:val="none" w:sz="0" w:space="0" w:color="auto"/>
                                <w:bottom w:val="none" w:sz="0" w:space="0" w:color="auto"/>
                                <w:right w:val="none" w:sz="0" w:space="0" w:color="auto"/>
                              </w:divBdr>
                            </w:div>
                            <w:div w:id="1493637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8337586">
              <w:marLeft w:val="0"/>
              <w:marRight w:val="0"/>
              <w:marTop w:val="225"/>
              <w:marBottom w:val="225"/>
              <w:divBdr>
                <w:top w:val="none" w:sz="0" w:space="0" w:color="auto"/>
                <w:left w:val="none" w:sz="0" w:space="0" w:color="auto"/>
                <w:bottom w:val="none" w:sz="0" w:space="0" w:color="auto"/>
                <w:right w:val="none" w:sz="0" w:space="0" w:color="auto"/>
              </w:divBdr>
              <w:divsChild>
                <w:div w:id="948045238">
                  <w:marLeft w:val="0"/>
                  <w:marRight w:val="0"/>
                  <w:marTop w:val="30"/>
                  <w:marBottom w:val="0"/>
                  <w:divBdr>
                    <w:top w:val="none" w:sz="0" w:space="0" w:color="auto"/>
                    <w:left w:val="none" w:sz="0" w:space="0" w:color="auto"/>
                    <w:bottom w:val="none" w:sz="0" w:space="0" w:color="auto"/>
                    <w:right w:val="none" w:sz="0" w:space="0" w:color="auto"/>
                  </w:divBdr>
                </w:div>
                <w:div w:id="621427202">
                  <w:marLeft w:val="975"/>
                  <w:marRight w:val="0"/>
                  <w:marTop w:val="0"/>
                  <w:marBottom w:val="0"/>
                  <w:divBdr>
                    <w:top w:val="none" w:sz="0" w:space="0" w:color="auto"/>
                    <w:left w:val="none" w:sz="0" w:space="0" w:color="auto"/>
                    <w:bottom w:val="none" w:sz="0" w:space="0" w:color="auto"/>
                    <w:right w:val="none" w:sz="0" w:space="0" w:color="auto"/>
                  </w:divBdr>
                </w:div>
                <w:div w:id="1704549831">
                  <w:marLeft w:val="97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revuefiduciaire.grouperf.com/lien_spad/?base=LEGI&amp;orig=REVUE_RF_FH&amp;code=LEGITEXT000006069577&amp;numero=502&amp;idspad=LEGIARTI000032459384" TargetMode="External"/><Relationship Id="rId13" Type="http://schemas.openxmlformats.org/officeDocument/2006/relationships/hyperlink" Target="http://revuefiduciaire.grouperf.com/guide/ASSOCIATIONS/2017/20140130113049378.html" TargetMode="External"/><Relationship Id="rId18" Type="http://schemas.openxmlformats.org/officeDocument/2006/relationships/hyperlink" Target="http://revuefiduciaire.grouperf.com/lien_spad/?base=LEGI&amp;orig=REVUE_RF_FH&amp;code=LEGITEXT000006072665&amp;numero=L3321-1&amp;idspad=LEGIARTI000031643382" TargetMode="External"/><Relationship Id="rId26" Type="http://schemas.openxmlformats.org/officeDocument/2006/relationships/hyperlink" Target="http://revuefiduciaire.grouperf.com/lien_spad/?base=LEGI&amp;orig=REVUE_RF_FH&amp;code=LEGITEXT000006072665&amp;numero=L3334-2&amp;idspad=LEGIARTI000031643426" TargetMode="External"/><Relationship Id="rId39" Type="http://schemas.openxmlformats.org/officeDocument/2006/relationships/hyperlink" Target="http://revuefiduciaire.grouperf.com/lien_spad/?base=LEGI&amp;orig=REVUE_RF_FH&amp;code=LEGITEXT000006072665&amp;numero=L3323-3&amp;idspad=LEGIARTI000006688012" TargetMode="External"/><Relationship Id="rId3" Type="http://schemas.microsoft.com/office/2007/relationships/stylesWithEffects" Target="stylesWithEffects.xml"/><Relationship Id="rId21" Type="http://schemas.openxmlformats.org/officeDocument/2006/relationships/hyperlink" Target="http://revuefiduciaire.grouperf.com/lien_spad/?base=LEGI&amp;orig=REVUE_RF_FH&amp;code=LEGITEXT000006072665&amp;numero=L3331-3&amp;idspad=LEGIARTI000031643396" TargetMode="External"/><Relationship Id="rId34" Type="http://schemas.openxmlformats.org/officeDocument/2006/relationships/hyperlink" Target="http://revuefiduciaire.grouperf.com/lien_spad/?base=LEGI&amp;orig=REVUE_RF_FH&amp;code=LEGITEXT000006072665&amp;numero=L3335-4&amp;idspad=LEGIARTI000031643432" TargetMode="External"/><Relationship Id="rId42" Type="http://schemas.openxmlformats.org/officeDocument/2006/relationships/fontTable" Target="fontTable.xml"/><Relationship Id="rId7" Type="http://schemas.openxmlformats.org/officeDocument/2006/relationships/hyperlink" Target="http://revuefiduciaire.grouperf.com/lien_spad/?base=LEGI&amp;orig=REVUE_RF_FH&amp;code=LEGITEXT000006069577&amp;numero=1&amp;idspad=LEGIARTI000006302198" TargetMode="External"/><Relationship Id="rId12" Type="http://schemas.openxmlformats.org/officeDocument/2006/relationships/hyperlink" Target="http://revuefiduciaire.grouperf.com/lien_spad/?base=LEGI&amp;orig=REVUE_RF_FH&amp;code=LEGITEXT000006072665&amp;numero=L3353-3&amp;idspad=LEGIARTI000031927675" TargetMode="External"/><Relationship Id="rId17" Type="http://schemas.openxmlformats.org/officeDocument/2006/relationships/hyperlink" Target="http://revuefiduciaire.grouperf.com/lien_spad/?base=LEGI&amp;orig=REVUE_RF_FH&amp;code=LEGITEXT000006069577&amp;numero=1655&amp;idspad=LEGIARTI000006312622" TargetMode="External"/><Relationship Id="rId25" Type="http://schemas.openxmlformats.org/officeDocument/2006/relationships/hyperlink" Target="http://revuefiduciaire.grouperf.com/guide/ASSOCIATIONS/2017/20140130113049378.html" TargetMode="External"/><Relationship Id="rId33" Type="http://schemas.openxmlformats.org/officeDocument/2006/relationships/hyperlink" Target="http://revuefiduciaire.grouperf.com/guide/ASSOCIATIONS/2017/20140130113049378.html" TargetMode="External"/><Relationship Id="rId38" Type="http://schemas.openxmlformats.org/officeDocument/2006/relationships/hyperlink" Target="http://revuefiduciaire.grouperf.com/lien_spad/?base=LEGI&amp;orig=REVUE_RF_FH&amp;code=LEGITEXT000006072665&amp;numero=L3323-2&amp;idspad=LEGIARTI000034110404" TargetMode="External"/><Relationship Id="rId2" Type="http://schemas.openxmlformats.org/officeDocument/2006/relationships/styles" Target="styles.xml"/><Relationship Id="rId16" Type="http://schemas.openxmlformats.org/officeDocument/2006/relationships/hyperlink" Target="http://revuefiduciaire.grouperf.com/lien_spad/?base=LEGI&amp;orig=REVUE_RF_FH&amp;code=LEGITEXT000006072665&amp;numero=L3332-1&amp;idspad=LEGIARTI000031643420" TargetMode="External"/><Relationship Id="rId20" Type="http://schemas.openxmlformats.org/officeDocument/2006/relationships/hyperlink" Target="http://revuefiduciaire.grouperf.com/lien_spad/?base=LEGI&amp;orig=REVUE_RF_FH&amp;code=LEGITEXT000006072665&amp;numero=L3331-2&amp;idspad=LEGIARTI000031643400" TargetMode="External"/><Relationship Id="rId29" Type="http://schemas.openxmlformats.org/officeDocument/2006/relationships/hyperlink" Target="http://revuefiduciaire.grouperf.com/guide/ASSOCIATIONS/2017/20140130113049378.html" TargetMode="External"/><Relationship Id="rId41" Type="http://schemas.openxmlformats.org/officeDocument/2006/relationships/hyperlink" Target="http://revuefiduciaire.grouperf.com/lien_spad/?base=LEGI&amp;orig=REVUE_RF_FH&amp;code=LEGITEXT000006072665&amp;numero=L3351-7&amp;idspad=LEGIARTI000006688099" TargetMode="External"/><Relationship Id="rId1" Type="http://schemas.openxmlformats.org/officeDocument/2006/relationships/numbering" Target="numbering.xml"/><Relationship Id="rId6" Type="http://schemas.openxmlformats.org/officeDocument/2006/relationships/hyperlink" Target="http://revuefiduciaire.grouperf.com/lien_spad/?base=LEGI&amp;orig=REVUE_RF_FH&amp;code=LEGITEXT000006069577&amp;numero=1655&amp;idspad=LEGIARTI000006312622" TargetMode="External"/><Relationship Id="rId11" Type="http://schemas.openxmlformats.org/officeDocument/2006/relationships/hyperlink" Target="http://revuefiduciaire.grouperf.com/lien_spad/?base=LEGI&amp;orig=REVUE_RF_FH&amp;code=LEGITEXT000006072665&amp;numero=L3342-1&amp;idspad=LEGIARTI000031927682" TargetMode="External"/><Relationship Id="rId24" Type="http://schemas.openxmlformats.org/officeDocument/2006/relationships/hyperlink" Target="http://revuefiduciaire.grouperf.com/lien_spad/?base=LEGI&amp;orig=REVUE_RF_FH&amp;code=LEGITEXT000006072665&amp;numero=L3334-2&amp;idspad=LEGIARTI000031643426" TargetMode="External"/><Relationship Id="rId32" Type="http://schemas.openxmlformats.org/officeDocument/2006/relationships/hyperlink" Target="http://revuefiduciaire.grouperf.com/lien_spad/?base=LEGI&amp;orig=REVUE_RF_FH&amp;code=LEGITEXT000006072665&amp;numero=L3334-1&amp;idspad=LEGIARTI000006688053" TargetMode="External"/><Relationship Id="rId37" Type="http://schemas.openxmlformats.org/officeDocument/2006/relationships/hyperlink" Target="http://revuefiduciaire.grouperf.com/lien_spad/?base=LEGI&amp;orig=REVUE_RF_FH&amp;code=LEGITEXT000006072665&amp;numero=D3335-17&amp;idspad=LEGIARTI000006912188" TargetMode="External"/><Relationship Id="rId40" Type="http://schemas.openxmlformats.org/officeDocument/2006/relationships/hyperlink" Target="http://revuefiduciaire.grouperf.com/guide/ASSOCIATIONS/2017/20140130113049378.html" TargetMode="External"/><Relationship Id="rId5" Type="http://schemas.openxmlformats.org/officeDocument/2006/relationships/webSettings" Target="webSettings.xml"/><Relationship Id="rId15" Type="http://schemas.openxmlformats.org/officeDocument/2006/relationships/hyperlink" Target="http://revuefiduciaire.grouperf.com/lien_spad/?base=LEGI&amp;orig=REVUE_RF_FH&amp;code=LEGITEXT000006072665&amp;numero=L3335-1&amp;idspad=LEGIARTI000017844766" TargetMode="External"/><Relationship Id="rId23" Type="http://schemas.openxmlformats.org/officeDocument/2006/relationships/hyperlink" Target="http://revuefiduciaire.grouperf.com/guide/ASSOCIATIONS/2017/20140130113049378.html" TargetMode="External"/><Relationship Id="rId28" Type="http://schemas.openxmlformats.org/officeDocument/2006/relationships/hyperlink" Target="http://revuefiduciaire.grouperf.com/lien_spad/?base=LEGI&amp;orig=REVUE_RF_FH&amp;code=LEGITEXT000006072665&amp;numero=R3352-1&amp;idspad=LEGIARTI000006912205" TargetMode="External"/><Relationship Id="rId36" Type="http://schemas.openxmlformats.org/officeDocument/2006/relationships/hyperlink" Target="http://revuefiduciaire.grouperf.com/lien_spad/?base=LEGI&amp;orig=REVUE_RF_FH&amp;code=LEGITEXT000006072665&amp;numero=D3335-16&amp;idspad=LEGIARTI000006912187" TargetMode="External"/><Relationship Id="rId10" Type="http://schemas.openxmlformats.org/officeDocument/2006/relationships/hyperlink" Target="http://revuefiduciaire.grouperf.com/lien_spad/?base=LEGI&amp;orig=REVUE_RF_FH&amp;code=LEGITEXT000006072665&amp;numero=R3353-2&amp;idspad=LEGIARTI000006912209" TargetMode="External"/><Relationship Id="rId19" Type="http://schemas.openxmlformats.org/officeDocument/2006/relationships/hyperlink" Target="http://revuefiduciaire.grouperf.com/lien_spad/?base=LEGI&amp;orig=REVUE_RF_FH&amp;code=LEGITEXT000006072665&amp;numero=L3331-1&amp;idspad=LEGIARTI000031643392" TargetMode="External"/><Relationship Id="rId31" Type="http://schemas.openxmlformats.org/officeDocument/2006/relationships/hyperlink" Target="http://revuefiduciaire.grouperf.com/lien_spad/?base=LEGI&amp;orig=REVUE_RF_FH&amp;code=LEGITEXT000006072665&amp;numero=L3334-1&amp;idspad=LEGIARTI000006688053" TargetMode="External"/><Relationship Id="rId4" Type="http://schemas.openxmlformats.org/officeDocument/2006/relationships/settings" Target="settings.xml"/><Relationship Id="rId9" Type="http://schemas.openxmlformats.org/officeDocument/2006/relationships/hyperlink" Target="http://revuefiduciaire.grouperf.com/guide/ASSOCIATIONS/2017/20100910105324384.html" TargetMode="External"/><Relationship Id="rId14" Type="http://schemas.openxmlformats.org/officeDocument/2006/relationships/hyperlink" Target="http://revuefiduciaire.grouperf.com/lien_spad/?base=LEGI&amp;orig=REVUE_RF_FH&amp;code=LEGITEXT000006072665&amp;numero=L3332-3&amp;idspad=LEGIARTI000033975527" TargetMode="External"/><Relationship Id="rId22" Type="http://schemas.openxmlformats.org/officeDocument/2006/relationships/hyperlink" Target="http://revuefiduciaire.grouperf.com/lien_spad/?base=LEGI&amp;orig=REVUE_RF_FH&amp;code=LEGITEXT000006072665&amp;numero=L3352-2&amp;idspad=LEGIARTI000006688104" TargetMode="External"/><Relationship Id="rId27" Type="http://schemas.openxmlformats.org/officeDocument/2006/relationships/hyperlink" Target="http://revuefiduciaire.grouperf.com/guide/ASSOCIATIONS/2017/20121029143040927.html" TargetMode="External"/><Relationship Id="rId30" Type="http://schemas.openxmlformats.org/officeDocument/2006/relationships/hyperlink" Target="http://revuefiduciaire.grouperf.com/lien_spad/?base=LEGI&amp;orig=REVUE_RF_FH&amp;code=LEGITEXT000006072665&amp;numero=L3352-5&amp;idspad=LEGIARTI000031643438" TargetMode="External"/><Relationship Id="rId35" Type="http://schemas.openxmlformats.org/officeDocument/2006/relationships/hyperlink" Target="http://revuefiduciaire.grouperf.com/lien_spad/?base=LEGI&amp;orig=REVUE_RF_FH&amp;code=LEGITEXT000006072665&amp;numero=L3335-4&amp;idspad=LEGIARTI000031643432" TargetMode="External"/><Relationship Id="rId43"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3522</Words>
  <Characters>19371</Characters>
  <Application>Microsoft Office Word</Application>
  <DocSecurity>0</DocSecurity>
  <Lines>161</Lines>
  <Paragraphs>45</Paragraphs>
  <ScaleCrop>false</ScaleCrop>
  <Company>Hewlett-Packard</Company>
  <LinksUpToDate>false</LinksUpToDate>
  <CharactersWithSpaces>22848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Anthony tarin</dc:creator>
  <cp:keywords/>
  <dc:description/>
  <cp:lastModifiedBy>Anthony tarin</cp:lastModifiedBy>
  <cp:revision>3</cp:revision>
  <dcterms:created xsi:type="dcterms:W3CDTF">2018-09-03T15:46:00Z</dcterms:created>
  <dcterms:modified xsi:type="dcterms:W3CDTF">2018-09-03T15:47:00Z</dcterms:modified>
</cp:coreProperties>
</file>